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461DD6" w14:textId="77777777" w:rsidR="00A45BA7" w:rsidRDefault="00DC5839">
      <w:pPr>
        <w:tabs>
          <w:tab w:val="left" w:pos="2000"/>
        </w:tabs>
      </w:pPr>
      <w:r>
        <w:tab/>
      </w:r>
    </w:p>
    <w:p w14:paraId="5EF367FE" w14:textId="77777777" w:rsidR="00A45BA7" w:rsidRDefault="00A45BA7">
      <w:pPr>
        <w:ind w:left="-1134" w:right="-1045"/>
      </w:pPr>
    </w:p>
    <w:p w14:paraId="5627C96B" w14:textId="7B584B2F" w:rsidR="002C1A77" w:rsidRPr="00983FC6" w:rsidRDefault="002C1A77" w:rsidP="00983FC6">
      <w:pPr>
        <w:pStyle w:val="JLLPRbodytext"/>
        <w:spacing w:line="240" w:lineRule="auto"/>
        <w:ind w:leftChars="-220" w:left="872" w:rightChars="-220" w:right="-528" w:hangingChars="500" w:hanging="1400"/>
        <w:rPr>
          <w:rFonts w:ascii="等线" w:eastAsia="等线" w:hAnsi="等线" w:cs="Arial"/>
          <w:b/>
          <w:bCs/>
          <w:sz w:val="28"/>
          <w:szCs w:val="28"/>
          <w:lang w:eastAsia="zh-CN"/>
        </w:rPr>
      </w:pPr>
      <w:r w:rsidRPr="002C1A77">
        <w:rPr>
          <w:rFonts w:ascii="等线" w:eastAsia="等线" w:hAnsi="等线" w:cs="Arial" w:hint="eastAsia"/>
          <w:b/>
          <w:bCs/>
          <w:sz w:val="28"/>
          <w:szCs w:val="28"/>
          <w:lang w:eastAsia="zh-CN"/>
        </w:rPr>
        <w:t>双环式格局下创新要素加速流动，产业互动</w:t>
      </w:r>
      <w:r>
        <w:rPr>
          <w:rFonts w:ascii="等线" w:eastAsia="等线" w:hAnsi="等线" w:cs="Arial" w:hint="eastAsia"/>
          <w:b/>
          <w:bCs/>
          <w:sz w:val="28"/>
          <w:szCs w:val="28"/>
          <w:lang w:eastAsia="zh-CN"/>
        </w:rPr>
        <w:t>持续赋能</w:t>
      </w:r>
      <w:r w:rsidRPr="002C1A77">
        <w:rPr>
          <w:rFonts w:ascii="等线" w:eastAsia="等线" w:hAnsi="等线" w:cs="Arial" w:hint="eastAsia"/>
          <w:b/>
          <w:bCs/>
          <w:sz w:val="28"/>
          <w:szCs w:val="28"/>
          <w:lang w:eastAsia="zh-CN"/>
        </w:rPr>
        <w:t>粤港澳大湾区</w:t>
      </w:r>
      <w:r>
        <w:rPr>
          <w:rFonts w:ascii="等线" w:eastAsia="等线" w:hAnsi="等线" w:cs="Arial" w:hint="eastAsia"/>
          <w:b/>
          <w:bCs/>
          <w:sz w:val="28"/>
          <w:szCs w:val="28"/>
          <w:lang w:eastAsia="zh-CN"/>
        </w:rPr>
        <w:t>发展</w:t>
      </w:r>
    </w:p>
    <w:p w14:paraId="12151E62" w14:textId="77777777" w:rsidR="00983FC6" w:rsidRDefault="00C732A2" w:rsidP="00983FC6">
      <w:pPr>
        <w:pStyle w:val="JLLPRbodytext"/>
        <w:spacing w:line="240" w:lineRule="auto"/>
        <w:ind w:leftChars="-220" w:left="672" w:rightChars="-220" w:right="-528" w:hangingChars="500" w:hanging="1200"/>
        <w:rPr>
          <w:rFonts w:ascii="等线" w:eastAsia="等线" w:hAnsi="等线" w:cs="Arial"/>
          <w:i/>
          <w:iCs/>
          <w:sz w:val="24"/>
          <w:lang w:eastAsia="zh-CN"/>
        </w:rPr>
      </w:pPr>
      <w:r w:rsidRPr="00983FC6">
        <w:rPr>
          <w:rFonts w:ascii="等线" w:eastAsia="等线" w:hAnsi="等线" w:cs="Arial" w:hint="eastAsia"/>
          <w:i/>
          <w:iCs/>
          <w:sz w:val="24"/>
          <w:lang w:eastAsia="zh-CN"/>
        </w:rPr>
        <w:t>仲量联行发布《</w:t>
      </w:r>
      <w:r w:rsidR="006309C0" w:rsidRPr="00983FC6">
        <w:rPr>
          <w:rFonts w:ascii="等线" w:eastAsia="等线" w:hAnsi="等线" w:cs="Arial" w:hint="eastAsia"/>
          <w:i/>
          <w:iCs/>
          <w:sz w:val="24"/>
          <w:lang w:eastAsia="zh-CN"/>
        </w:rPr>
        <w:t>重构粤港澳</w:t>
      </w:r>
      <w:r w:rsidRPr="00983FC6">
        <w:rPr>
          <w:rFonts w:ascii="等线" w:eastAsia="等线" w:hAnsi="等线" w:cs="Arial" w:hint="eastAsia"/>
          <w:i/>
          <w:iCs/>
          <w:sz w:val="24"/>
          <w:lang w:eastAsia="zh-CN"/>
        </w:rPr>
        <w:t>大湾区产业圈层</w:t>
      </w:r>
      <w:r w:rsidR="006309C0" w:rsidRPr="00983FC6">
        <w:rPr>
          <w:rFonts w:ascii="等线" w:eastAsia="等线" w:hAnsi="等线" w:cs="Arial" w:hint="eastAsia"/>
          <w:i/>
          <w:iCs/>
          <w:sz w:val="24"/>
          <w:lang w:eastAsia="zh-CN"/>
        </w:rPr>
        <w:t>与空间布局</w:t>
      </w:r>
      <w:r w:rsidRPr="00983FC6">
        <w:rPr>
          <w:rFonts w:ascii="等线" w:eastAsia="等线" w:hAnsi="等线" w:cs="Arial" w:hint="eastAsia"/>
          <w:i/>
          <w:iCs/>
          <w:sz w:val="24"/>
          <w:lang w:eastAsia="zh-CN"/>
        </w:rPr>
        <w:t>》</w:t>
      </w:r>
      <w:r w:rsidR="006309C0" w:rsidRPr="00983FC6">
        <w:rPr>
          <w:rFonts w:ascii="等线" w:eastAsia="等线" w:hAnsi="等线" w:cs="Arial" w:hint="eastAsia"/>
          <w:i/>
          <w:iCs/>
          <w:sz w:val="24"/>
          <w:lang w:eastAsia="zh-CN"/>
        </w:rPr>
        <w:t>白皮书</w:t>
      </w:r>
    </w:p>
    <w:p w14:paraId="336913AB" w14:textId="77777777" w:rsidR="00983FC6" w:rsidRDefault="00983FC6" w:rsidP="00983FC6">
      <w:pPr>
        <w:pStyle w:val="JLLPRbodytext"/>
        <w:spacing w:line="240" w:lineRule="auto"/>
        <w:ind w:leftChars="-220" w:left="672" w:rightChars="-220" w:right="-528" w:hangingChars="500" w:hanging="1200"/>
        <w:rPr>
          <w:rFonts w:ascii="等线" w:eastAsia="等线" w:hAnsi="等线" w:cs="Arial"/>
          <w:i/>
          <w:iCs/>
          <w:sz w:val="24"/>
          <w:lang w:eastAsia="zh-CN"/>
        </w:rPr>
      </w:pPr>
    </w:p>
    <w:p w14:paraId="680CA4FA" w14:textId="7D717194" w:rsidR="00737AEC" w:rsidRDefault="00C732A2" w:rsidP="00983FC6">
      <w:pPr>
        <w:spacing w:after="160" w:line="288" w:lineRule="auto"/>
        <w:ind w:leftChars="-220" w:left="-528" w:rightChars="-220" w:right="-528"/>
        <w:rPr>
          <w:rFonts w:cs="Cordia New"/>
          <w:sz w:val="21"/>
          <w:szCs w:val="21"/>
        </w:rPr>
      </w:pPr>
      <w:r w:rsidRPr="00983FC6">
        <w:rPr>
          <w:rFonts w:cs="Cordia New" w:hint="eastAsia"/>
          <w:b/>
          <w:bCs/>
          <w:sz w:val="21"/>
          <w:szCs w:val="21"/>
        </w:rPr>
        <w:t>深圳</w:t>
      </w:r>
      <w:r w:rsidR="00BD1259" w:rsidRPr="00983FC6">
        <w:rPr>
          <w:rFonts w:cs="Cordia New"/>
          <w:b/>
          <w:bCs/>
          <w:sz w:val="21"/>
          <w:szCs w:val="21"/>
        </w:rPr>
        <w:t>，</w:t>
      </w:r>
      <w:r w:rsidR="00BD1259" w:rsidRPr="00983FC6">
        <w:rPr>
          <w:rFonts w:ascii="Arial" w:hAnsi="Arial" w:cs="Arial"/>
          <w:b/>
          <w:bCs/>
          <w:sz w:val="21"/>
          <w:szCs w:val="21"/>
        </w:rPr>
        <w:t>2021</w:t>
      </w:r>
      <w:r w:rsidR="00BD1259" w:rsidRPr="00983FC6">
        <w:rPr>
          <w:rFonts w:ascii="Arial" w:hAnsi="Arial" w:cs="Arial"/>
          <w:b/>
          <w:bCs/>
          <w:sz w:val="21"/>
          <w:szCs w:val="21"/>
        </w:rPr>
        <w:t>年</w:t>
      </w:r>
      <w:r w:rsidR="00BD1259" w:rsidRPr="00983FC6">
        <w:rPr>
          <w:rFonts w:ascii="Arial" w:hAnsi="Arial" w:cs="Arial"/>
          <w:b/>
          <w:bCs/>
          <w:sz w:val="21"/>
          <w:szCs w:val="21"/>
        </w:rPr>
        <w:t>0</w:t>
      </w:r>
      <w:r w:rsidRPr="00983FC6">
        <w:rPr>
          <w:rFonts w:ascii="Arial" w:hAnsi="Arial" w:cs="Arial"/>
          <w:b/>
          <w:bCs/>
          <w:sz w:val="21"/>
          <w:szCs w:val="21"/>
        </w:rPr>
        <w:t>6</w:t>
      </w:r>
      <w:r w:rsidR="00BD1259" w:rsidRPr="00983FC6">
        <w:rPr>
          <w:rFonts w:ascii="Arial" w:hAnsi="Arial" w:cs="Arial"/>
          <w:b/>
          <w:bCs/>
          <w:sz w:val="21"/>
          <w:szCs w:val="21"/>
        </w:rPr>
        <w:t>月</w:t>
      </w:r>
      <w:r w:rsidRPr="00983FC6">
        <w:rPr>
          <w:rFonts w:ascii="Arial" w:hAnsi="Arial" w:cs="Arial"/>
          <w:b/>
          <w:bCs/>
          <w:sz w:val="21"/>
          <w:szCs w:val="21"/>
        </w:rPr>
        <w:t>22</w:t>
      </w:r>
      <w:r w:rsidR="00BD1259" w:rsidRPr="00983FC6">
        <w:rPr>
          <w:rFonts w:ascii="Arial" w:hAnsi="Arial" w:cs="Arial"/>
          <w:b/>
          <w:bCs/>
          <w:sz w:val="21"/>
          <w:szCs w:val="21"/>
        </w:rPr>
        <w:t>日</w:t>
      </w:r>
      <w:r w:rsidR="00BD1259" w:rsidRPr="00983FC6">
        <w:rPr>
          <w:rFonts w:cs="Cordia New"/>
          <w:sz w:val="21"/>
          <w:szCs w:val="21"/>
        </w:rPr>
        <w:t xml:space="preserve"> -</w:t>
      </w:r>
      <w:r>
        <w:rPr>
          <w:rFonts w:cs="Cordia New"/>
          <w:sz w:val="21"/>
          <w:szCs w:val="21"/>
        </w:rPr>
        <w:t xml:space="preserve"> </w:t>
      </w:r>
      <w:r w:rsidRPr="00C732A2">
        <w:rPr>
          <w:rFonts w:cs="Cordia New" w:hint="eastAsia"/>
          <w:sz w:val="21"/>
          <w:szCs w:val="21"/>
        </w:rPr>
        <w:t>仲量联行最新发布</w:t>
      </w:r>
      <w:hyperlink r:id="rId8" w:history="1">
        <w:r w:rsidRPr="00F258AB">
          <w:rPr>
            <w:rStyle w:val="a7"/>
            <w:rFonts w:ascii="等线" w:hAnsi="等线" w:hint="eastAsia"/>
            <w:b/>
            <w:bCs/>
            <w:color w:val="E30613"/>
            <w:sz w:val="21"/>
            <w:szCs w:val="21"/>
            <w:lang w:val="en-GB"/>
          </w:rPr>
          <w:t>《</w:t>
        </w:r>
        <w:r w:rsidR="006309C0" w:rsidRPr="00F258AB">
          <w:rPr>
            <w:rStyle w:val="a7"/>
            <w:rFonts w:ascii="等线" w:hAnsi="等线" w:hint="eastAsia"/>
            <w:b/>
            <w:bCs/>
            <w:color w:val="E30613"/>
            <w:sz w:val="21"/>
            <w:szCs w:val="21"/>
            <w:lang w:val="en-GB"/>
          </w:rPr>
          <w:t>重构粤港澳大湾区产业圈层与空间布局</w:t>
        </w:r>
        <w:r w:rsidRPr="00F258AB">
          <w:rPr>
            <w:rStyle w:val="a7"/>
            <w:rFonts w:ascii="等线" w:hAnsi="等线" w:hint="eastAsia"/>
            <w:b/>
            <w:bCs/>
            <w:color w:val="E30613"/>
            <w:sz w:val="21"/>
            <w:szCs w:val="21"/>
            <w:lang w:val="en-GB"/>
          </w:rPr>
          <w:t>》</w:t>
        </w:r>
      </w:hyperlink>
      <w:r w:rsidR="006309C0">
        <w:rPr>
          <w:rFonts w:cs="Cordia New" w:hint="eastAsia"/>
          <w:sz w:val="21"/>
          <w:szCs w:val="21"/>
        </w:rPr>
        <w:t>白皮书</w:t>
      </w:r>
      <w:r w:rsidRPr="00C732A2">
        <w:rPr>
          <w:rFonts w:cs="Cordia New" w:hint="eastAsia"/>
          <w:sz w:val="21"/>
          <w:szCs w:val="21"/>
        </w:rPr>
        <w:t>，以产业为切入点，采用圈层及轴带发展等规划理论，从城市空间形态入手，通过产业组团、产业带及产业节点等维度对大湾区未来产业布局进行全面剖析。</w:t>
      </w:r>
    </w:p>
    <w:p w14:paraId="7FB2D4EF" w14:textId="77777777" w:rsidR="00737AEC" w:rsidRDefault="00737AEC" w:rsidP="00737AEC">
      <w:pPr>
        <w:spacing w:after="160" w:line="288" w:lineRule="auto"/>
        <w:ind w:leftChars="-220" w:left="-528" w:rightChars="-220" w:right="-528"/>
        <w:rPr>
          <w:rFonts w:cs="Cordia New"/>
          <w:sz w:val="21"/>
          <w:szCs w:val="21"/>
        </w:rPr>
      </w:pPr>
      <w:r w:rsidRPr="00B44581">
        <w:rPr>
          <w:rFonts w:cs="Cordia New" w:hint="eastAsia"/>
          <w:b/>
          <w:bCs/>
          <w:sz w:val="21"/>
          <w:szCs w:val="21"/>
        </w:rPr>
        <w:t>仲量联行华南区董事总经理吴仲豪</w:t>
      </w:r>
      <w:r w:rsidRPr="00B44581">
        <w:rPr>
          <w:rFonts w:cs="Cordia New" w:hint="eastAsia"/>
          <w:sz w:val="21"/>
          <w:szCs w:val="21"/>
        </w:rPr>
        <w:t>表示，“这是仲量联行继去年发布</w:t>
      </w:r>
      <w:hyperlink r:id="rId9" w:history="1">
        <w:r w:rsidRPr="007A31C9">
          <w:rPr>
            <w:rStyle w:val="a7"/>
            <w:rFonts w:cs="Cordia New" w:hint="eastAsia"/>
            <w:color w:val="auto"/>
            <w:sz w:val="21"/>
            <w:szCs w:val="21"/>
          </w:rPr>
          <w:t>《粤港澳大湾区：前行之路》</w:t>
        </w:r>
      </w:hyperlink>
      <w:r w:rsidRPr="00B44581">
        <w:rPr>
          <w:rFonts w:cs="Cordia New" w:hint="eastAsia"/>
          <w:sz w:val="21"/>
          <w:szCs w:val="21"/>
        </w:rPr>
        <w:t>之后，针对</w:t>
      </w:r>
      <w:r w:rsidRPr="00C732A2">
        <w:rPr>
          <w:rFonts w:cs="Cordia New" w:hint="eastAsia"/>
          <w:sz w:val="21"/>
          <w:szCs w:val="21"/>
        </w:rPr>
        <w:t>粤港湾大湾区专题研究的又一重磅报告。</w:t>
      </w:r>
      <w:r>
        <w:rPr>
          <w:rFonts w:cs="Cordia New" w:hint="eastAsia"/>
          <w:sz w:val="21"/>
          <w:szCs w:val="21"/>
        </w:rPr>
        <w:t>我们希望通过对粤港澳大湾区进行持续、深入、多维度的分析，</w:t>
      </w:r>
      <w:r w:rsidRPr="00B44581">
        <w:rPr>
          <w:rFonts w:cs="Cordia New" w:hint="eastAsia"/>
          <w:sz w:val="21"/>
          <w:szCs w:val="21"/>
        </w:rPr>
        <w:t>深度挖掘区域经济的发展需求、行业变化、城市发展等领域并提出</w:t>
      </w:r>
      <w:r>
        <w:rPr>
          <w:rFonts w:cs="Cordia New" w:hint="eastAsia"/>
          <w:sz w:val="21"/>
          <w:szCs w:val="21"/>
        </w:rPr>
        <w:t>仲量联行</w:t>
      </w:r>
      <w:r w:rsidRPr="00B44581">
        <w:rPr>
          <w:rFonts w:cs="Cordia New" w:hint="eastAsia"/>
          <w:sz w:val="21"/>
          <w:szCs w:val="21"/>
        </w:rPr>
        <w:t>的独特见解，</w:t>
      </w:r>
      <w:r>
        <w:rPr>
          <w:rFonts w:cs="Cordia New" w:hint="eastAsia"/>
          <w:sz w:val="21"/>
          <w:szCs w:val="21"/>
        </w:rPr>
        <w:t>为政府、机构提供研究基础，对企业及投资者</w:t>
      </w:r>
      <w:r w:rsidRPr="00B44581">
        <w:rPr>
          <w:rFonts w:cs="Cordia New" w:hint="eastAsia"/>
          <w:sz w:val="21"/>
          <w:szCs w:val="21"/>
        </w:rPr>
        <w:t>进入</w:t>
      </w:r>
      <w:r>
        <w:rPr>
          <w:rFonts w:cs="Cordia New" w:hint="eastAsia"/>
          <w:sz w:val="21"/>
          <w:szCs w:val="21"/>
        </w:rPr>
        <w:t>或深度布局</w:t>
      </w:r>
      <w:r w:rsidRPr="00B44581">
        <w:rPr>
          <w:rFonts w:cs="Cordia New" w:hint="eastAsia"/>
          <w:sz w:val="21"/>
          <w:szCs w:val="21"/>
        </w:rPr>
        <w:t>大湾区</w:t>
      </w:r>
      <w:r>
        <w:rPr>
          <w:rFonts w:cs="Cordia New" w:hint="eastAsia"/>
          <w:sz w:val="21"/>
          <w:szCs w:val="21"/>
        </w:rPr>
        <w:t>提供有益参考</w:t>
      </w:r>
      <w:r w:rsidRPr="00B44581">
        <w:rPr>
          <w:rFonts w:cs="Cordia New" w:hint="eastAsia"/>
          <w:sz w:val="21"/>
          <w:szCs w:val="21"/>
        </w:rPr>
        <w:t>。</w:t>
      </w:r>
      <w:r>
        <w:rPr>
          <w:rFonts w:cs="Cordia New" w:hint="eastAsia"/>
          <w:sz w:val="21"/>
          <w:szCs w:val="21"/>
        </w:rPr>
        <w:t>”</w:t>
      </w:r>
    </w:p>
    <w:p w14:paraId="0150E3B6" w14:textId="1D791973" w:rsidR="00F673A1" w:rsidRPr="00F673A1" w:rsidRDefault="00F046DF" w:rsidP="00737AEC">
      <w:pPr>
        <w:spacing w:after="160" w:line="288" w:lineRule="auto"/>
        <w:ind w:leftChars="-220" w:left="-528" w:rightChars="-220" w:right="-528"/>
        <w:rPr>
          <w:rFonts w:cs="Cordia New"/>
          <w:sz w:val="21"/>
          <w:szCs w:val="21"/>
        </w:rPr>
      </w:pPr>
      <w:r>
        <w:rPr>
          <w:rFonts w:cs="Cordia New" w:hint="eastAsia"/>
          <w:sz w:val="21"/>
          <w:szCs w:val="21"/>
        </w:rPr>
        <w:t>该</w:t>
      </w:r>
      <w:r w:rsidR="00C732A2" w:rsidRPr="00983FC6">
        <w:rPr>
          <w:rFonts w:cs="Cordia New" w:hint="eastAsia"/>
          <w:sz w:val="21"/>
          <w:szCs w:val="21"/>
        </w:rPr>
        <w:t>报告</w:t>
      </w:r>
      <w:r w:rsidR="00751803">
        <w:rPr>
          <w:rFonts w:cs="Cordia New" w:hint="eastAsia"/>
          <w:sz w:val="21"/>
          <w:szCs w:val="21"/>
        </w:rPr>
        <w:t>通过研究发现</w:t>
      </w:r>
      <w:r w:rsidR="00737AEC">
        <w:rPr>
          <w:rFonts w:cs="Cordia New" w:hint="eastAsia"/>
          <w:sz w:val="21"/>
          <w:szCs w:val="21"/>
        </w:rPr>
        <w:t>，</w:t>
      </w:r>
      <w:r w:rsidR="00737AEC" w:rsidRPr="00737AEC">
        <w:rPr>
          <w:rFonts w:cs="Cordia New" w:hint="eastAsia"/>
          <w:b/>
          <w:bCs/>
          <w:sz w:val="21"/>
          <w:szCs w:val="21"/>
        </w:rPr>
        <w:t>粤港澳大湾区正构建以极点带动、轴带支撑的空间形态布局</w:t>
      </w:r>
      <w:r w:rsidR="00737AEC" w:rsidRPr="00737AEC">
        <w:rPr>
          <w:rFonts w:cs="Cordia New" w:hint="eastAsia"/>
          <w:sz w:val="21"/>
          <w:szCs w:val="21"/>
        </w:rPr>
        <w:t>。极点带动即香港、广州、深圳强强联合，发挥推动区域发展的核心引擎作用，通过深化合作提升整体实力和全球影响力。轴带支撑则是依托高速公路、高速铁路、城际铁路等为主体的快速交通网络，增强区域经济发展轴带上各城市间的联动性，形成主要城市间高效连接的网络化空间格局。</w:t>
      </w:r>
    </w:p>
    <w:p w14:paraId="6BFE4FD3" w14:textId="77777777" w:rsidR="00F673A1" w:rsidRPr="00983FC6" w:rsidRDefault="00F673A1" w:rsidP="00F673A1">
      <w:pPr>
        <w:spacing w:after="160" w:line="288" w:lineRule="auto"/>
        <w:ind w:leftChars="-220" w:left="-528" w:rightChars="-220" w:right="-528"/>
        <w:rPr>
          <w:rFonts w:cs="Cordia New"/>
          <w:sz w:val="21"/>
          <w:szCs w:val="21"/>
        </w:rPr>
      </w:pPr>
    </w:p>
    <w:p w14:paraId="548C21E8" w14:textId="08C91BD7" w:rsidR="00C732A2" w:rsidRPr="00983FC6" w:rsidRDefault="00737AEC" w:rsidP="00C732A2">
      <w:pPr>
        <w:spacing w:after="160" w:line="288" w:lineRule="auto"/>
        <w:ind w:leftChars="-220" w:left="-528" w:rightChars="-220" w:right="-528"/>
        <w:rPr>
          <w:rFonts w:ascii="等线" w:hAnsi="等线"/>
          <w:b/>
          <w:bCs/>
          <w:color w:val="E30613"/>
          <w:sz w:val="21"/>
          <w:szCs w:val="21"/>
          <w:lang w:val="en-GB"/>
        </w:rPr>
      </w:pPr>
      <w:r w:rsidRPr="00737AEC">
        <w:rPr>
          <w:rFonts w:ascii="等线" w:hAnsi="等线" w:hint="eastAsia"/>
          <w:b/>
          <w:bCs/>
          <w:color w:val="E30613"/>
          <w:sz w:val="21"/>
          <w:szCs w:val="21"/>
          <w:lang w:val="en-GB"/>
        </w:rPr>
        <w:t>内外环协同发展，正重构粤港澳大湾区产业圈层与空间布局</w:t>
      </w:r>
    </w:p>
    <w:p w14:paraId="23769168" w14:textId="3E56C51E" w:rsidR="00737AEC" w:rsidRDefault="00737AEC" w:rsidP="00C732A2">
      <w:pPr>
        <w:spacing w:after="160" w:line="288" w:lineRule="auto"/>
        <w:ind w:leftChars="-220" w:left="-528" w:rightChars="-220" w:right="-528"/>
        <w:rPr>
          <w:rFonts w:cs="Cordia New"/>
          <w:sz w:val="21"/>
          <w:szCs w:val="21"/>
        </w:rPr>
      </w:pPr>
      <w:r w:rsidRPr="00737AEC">
        <w:rPr>
          <w:rFonts w:cs="Cordia New" w:hint="eastAsia"/>
          <w:sz w:val="21"/>
          <w:szCs w:val="21"/>
        </w:rPr>
        <w:t>具体而言，上述轴带式发展有效串连极点间的重要节点城市，并促成</w:t>
      </w:r>
      <w:r>
        <w:rPr>
          <w:rFonts w:cs="Cordia New" w:hint="eastAsia"/>
          <w:sz w:val="21"/>
          <w:szCs w:val="21"/>
        </w:rPr>
        <w:t>“</w:t>
      </w:r>
      <w:r w:rsidRPr="00737AEC">
        <w:rPr>
          <w:rFonts w:cs="Cordia New" w:hint="eastAsia"/>
          <w:b/>
          <w:bCs/>
          <w:sz w:val="21"/>
          <w:szCs w:val="21"/>
        </w:rPr>
        <w:t>外环</w:t>
      </w:r>
      <w:r w:rsidRPr="00737AEC">
        <w:rPr>
          <w:rFonts w:cs="Cordia New" w:hint="eastAsia"/>
          <w:sz w:val="21"/>
          <w:szCs w:val="21"/>
        </w:rPr>
        <w:t>”的形成，即广深科技创新走廊（“东环”）和珠西先进装备制造产业带（“西环”）；以及围绕广州南沙、深圳前海、珠海横琴、东莞滨海湾新区和中山翠亨新区这五个关键的现代制造业节点，沿地理走向连接成一条半环形的“</w:t>
      </w:r>
      <w:r w:rsidRPr="00737AEC">
        <w:rPr>
          <w:rFonts w:cs="Cordia New" w:hint="eastAsia"/>
          <w:b/>
          <w:bCs/>
          <w:sz w:val="21"/>
          <w:szCs w:val="21"/>
        </w:rPr>
        <w:t>内环</w:t>
      </w:r>
      <w:r w:rsidRPr="00737AEC">
        <w:rPr>
          <w:rFonts w:cs="Cordia New" w:hint="eastAsia"/>
          <w:sz w:val="21"/>
          <w:szCs w:val="21"/>
        </w:rPr>
        <w:t>”发展轴带。</w:t>
      </w:r>
    </w:p>
    <w:p w14:paraId="677861EC" w14:textId="678B2574" w:rsidR="00737AEC" w:rsidRDefault="00737AEC" w:rsidP="00737AEC">
      <w:pPr>
        <w:spacing w:after="160" w:line="288" w:lineRule="auto"/>
        <w:ind w:leftChars="-220" w:left="-528" w:rightChars="-220" w:right="-528"/>
        <w:jc w:val="center"/>
        <w:rPr>
          <w:rFonts w:cs="Cordia New"/>
          <w:sz w:val="21"/>
          <w:szCs w:val="21"/>
        </w:rPr>
      </w:pPr>
      <w:r>
        <w:rPr>
          <w:noProof/>
        </w:rPr>
        <w:drawing>
          <wp:inline distT="0" distB="0" distL="0" distR="0" wp14:anchorId="6028AF00" wp14:editId="0A8F9350">
            <wp:extent cx="3423684" cy="3022482"/>
            <wp:effectExtent l="0" t="0" r="571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3684" cy="3022482"/>
                    </a:xfrm>
                    <a:prstGeom prst="rect">
                      <a:avLst/>
                    </a:prstGeom>
                    <a:noFill/>
                    <a:ln>
                      <a:noFill/>
                    </a:ln>
                  </pic:spPr>
                </pic:pic>
              </a:graphicData>
            </a:graphic>
          </wp:inline>
        </w:drawing>
      </w:r>
    </w:p>
    <w:p w14:paraId="03050E7C" w14:textId="77777777" w:rsidR="00737AEC" w:rsidRPr="00737AEC" w:rsidRDefault="00737AEC" w:rsidP="00737AEC">
      <w:pPr>
        <w:spacing w:after="160" w:line="288" w:lineRule="auto"/>
        <w:ind w:leftChars="-220" w:left="-528" w:rightChars="-220" w:right="-528"/>
        <w:rPr>
          <w:rFonts w:cs="Cordia New"/>
          <w:sz w:val="21"/>
          <w:szCs w:val="21"/>
        </w:rPr>
      </w:pPr>
      <w:r w:rsidRPr="00737AEC">
        <w:rPr>
          <w:rFonts w:cs="Cordia New" w:hint="eastAsia"/>
          <w:sz w:val="21"/>
          <w:szCs w:val="21"/>
        </w:rPr>
        <w:lastRenderedPageBreak/>
        <w:t>东环将广州和深圳两大创新中心，以及“世界工厂”东莞连接了起来，将促进以创新为主要引领和支撑的经济体系和发展模式的形成。而位于珠江西岸的西环加速崛起，特色产业集群特征愈发明显。我们认为，依托佛山的制造能力，大湾区将进一步落实“东西环”要素对接，推动创新成果在西环转化生产。</w:t>
      </w:r>
    </w:p>
    <w:p w14:paraId="716D2128" w14:textId="2722C4DB" w:rsidR="00C732A2" w:rsidRPr="00C732A2" w:rsidRDefault="00737AEC" w:rsidP="00737AEC">
      <w:pPr>
        <w:spacing w:after="160" w:line="288" w:lineRule="auto"/>
        <w:ind w:leftChars="-220" w:left="-528" w:rightChars="-220" w:right="-528"/>
        <w:rPr>
          <w:rFonts w:cs="Cordia New"/>
          <w:sz w:val="21"/>
          <w:szCs w:val="21"/>
        </w:rPr>
      </w:pPr>
      <w:r w:rsidRPr="00737AEC">
        <w:rPr>
          <w:rFonts w:cs="Cordia New" w:hint="eastAsia"/>
          <w:sz w:val="21"/>
          <w:szCs w:val="21"/>
        </w:rPr>
        <w:t>而“内环“这条以现代服务业和先进制造业双轮驱动的产业发展轴带，将成为二、三产业深度融合发展的湾区经济增长新引擎。现阶段，以广州南沙、深圳前海为代表的，不同等级的“增长极”正在加速建设。作为各地未来区域发展的核心，它们肩负着形成中心</w:t>
      </w:r>
      <w:r w:rsidRPr="00737AEC">
        <w:rPr>
          <w:rFonts w:cs="Cordia New" w:hint="eastAsia"/>
          <w:sz w:val="21"/>
          <w:szCs w:val="21"/>
        </w:rPr>
        <w:t>-</w:t>
      </w:r>
      <w:r w:rsidRPr="00737AEC">
        <w:rPr>
          <w:rFonts w:cs="Cordia New" w:hint="eastAsia"/>
          <w:sz w:val="21"/>
          <w:szCs w:val="21"/>
        </w:rPr>
        <w:t>外围的网络化结构的任务，同时也为金融、物流、先进制造等领域提供新的合作关系及有机优化的空间。</w:t>
      </w:r>
    </w:p>
    <w:p w14:paraId="17607971" w14:textId="77777777" w:rsidR="00C3647B" w:rsidRDefault="00C3647B" w:rsidP="00C732A2">
      <w:pPr>
        <w:spacing w:after="160" w:line="288" w:lineRule="auto"/>
        <w:ind w:leftChars="-220" w:left="-528" w:rightChars="-220" w:right="-528"/>
        <w:rPr>
          <w:rFonts w:ascii="等线" w:hAnsi="等线"/>
          <w:b/>
          <w:bCs/>
          <w:color w:val="E30613"/>
          <w:sz w:val="21"/>
          <w:szCs w:val="21"/>
          <w:lang w:val="en-GB"/>
        </w:rPr>
      </w:pPr>
    </w:p>
    <w:p w14:paraId="1CC91CBA" w14:textId="41132ADF" w:rsidR="00C732A2" w:rsidRPr="00983FC6" w:rsidRDefault="00A73398" w:rsidP="00C732A2">
      <w:pPr>
        <w:spacing w:after="160" w:line="288" w:lineRule="auto"/>
        <w:ind w:leftChars="-220" w:left="-528" w:rightChars="-220" w:right="-528"/>
        <w:rPr>
          <w:rFonts w:ascii="等线" w:hAnsi="等线"/>
          <w:b/>
          <w:bCs/>
          <w:color w:val="E30613"/>
          <w:sz w:val="21"/>
          <w:szCs w:val="21"/>
          <w:lang w:val="en-GB"/>
        </w:rPr>
      </w:pPr>
      <w:r w:rsidRPr="00983FC6">
        <w:rPr>
          <w:rFonts w:ascii="等线" w:hAnsi="等线" w:hint="eastAsia"/>
          <w:b/>
          <w:bCs/>
          <w:color w:val="E30613"/>
          <w:sz w:val="21"/>
          <w:szCs w:val="21"/>
          <w:lang w:val="en-GB"/>
        </w:rPr>
        <w:t>核心城市</w:t>
      </w:r>
      <w:r w:rsidR="00C732A2" w:rsidRPr="00983FC6">
        <w:rPr>
          <w:rFonts w:ascii="等线" w:hAnsi="等线" w:hint="eastAsia"/>
          <w:b/>
          <w:bCs/>
          <w:color w:val="E30613"/>
          <w:sz w:val="21"/>
          <w:szCs w:val="21"/>
          <w:lang w:val="en-GB"/>
        </w:rPr>
        <w:t>“多中心”式</w:t>
      </w:r>
      <w:r w:rsidRPr="00983FC6">
        <w:rPr>
          <w:rFonts w:ascii="等线" w:hAnsi="等线" w:hint="eastAsia"/>
          <w:b/>
          <w:bCs/>
          <w:color w:val="E30613"/>
          <w:sz w:val="21"/>
          <w:szCs w:val="21"/>
          <w:lang w:val="en-GB"/>
        </w:rPr>
        <w:t>的</w:t>
      </w:r>
      <w:r w:rsidR="00C732A2" w:rsidRPr="00983FC6">
        <w:rPr>
          <w:rFonts w:ascii="等线" w:hAnsi="等线" w:hint="eastAsia"/>
          <w:b/>
          <w:bCs/>
          <w:color w:val="E30613"/>
          <w:sz w:val="21"/>
          <w:szCs w:val="21"/>
          <w:lang w:val="en-GB"/>
        </w:rPr>
        <w:t>发展格局</w:t>
      </w:r>
      <w:r w:rsidRPr="00983FC6">
        <w:rPr>
          <w:rFonts w:ascii="等线" w:hAnsi="等线" w:hint="eastAsia"/>
          <w:b/>
          <w:bCs/>
          <w:color w:val="E30613"/>
          <w:sz w:val="21"/>
          <w:szCs w:val="21"/>
          <w:lang w:val="en-GB"/>
        </w:rPr>
        <w:t>承接优势产业扩张</w:t>
      </w:r>
    </w:p>
    <w:p w14:paraId="0D0105C6" w14:textId="4223C5BB" w:rsidR="004D541C" w:rsidRDefault="00C732A2" w:rsidP="0015617A">
      <w:pPr>
        <w:spacing w:after="160" w:line="288" w:lineRule="auto"/>
        <w:ind w:leftChars="-220" w:left="-528" w:rightChars="-220" w:right="-528"/>
        <w:rPr>
          <w:rFonts w:cs="Cordia New"/>
          <w:sz w:val="21"/>
          <w:szCs w:val="21"/>
        </w:rPr>
      </w:pPr>
      <w:r w:rsidRPr="00C732A2">
        <w:rPr>
          <w:rFonts w:cs="Cordia New" w:hint="eastAsia"/>
          <w:sz w:val="21"/>
          <w:szCs w:val="21"/>
        </w:rPr>
        <w:t>得益于道路网和地铁网密度的大幅提升，城市经济边界不断外拓，粤港澳大湾区核心城市的“多中心”发展格局正逐步形成。比如，随着琶洲和金融城的落成，广州</w:t>
      </w:r>
      <w:r w:rsidRPr="00C732A2">
        <w:rPr>
          <w:rFonts w:cs="Cordia New" w:hint="eastAsia"/>
          <w:sz w:val="21"/>
          <w:szCs w:val="21"/>
        </w:rPr>
        <w:t>CBD</w:t>
      </w:r>
      <w:r w:rsidRPr="00C732A2">
        <w:rPr>
          <w:rFonts w:cs="Cordia New" w:hint="eastAsia"/>
          <w:sz w:val="21"/>
          <w:szCs w:val="21"/>
        </w:rPr>
        <w:t>的边界将在珠江新城的基础上进一步拓展，而周边多个副中心，如白鹅潭、广州南站，也均部署或规划大型综合交通转运枢纽，未来产业发展将得到更好的保障；</w:t>
      </w:r>
      <w:r w:rsidR="000769D3">
        <w:rPr>
          <w:rFonts w:cs="Cordia New" w:hint="eastAsia"/>
          <w:sz w:val="21"/>
          <w:szCs w:val="21"/>
        </w:rPr>
        <w:t>而</w:t>
      </w:r>
      <w:r w:rsidR="000769D3" w:rsidRPr="000769D3">
        <w:rPr>
          <w:rFonts w:cs="Cordia New" w:hint="eastAsia"/>
          <w:sz w:val="21"/>
          <w:szCs w:val="21"/>
        </w:rPr>
        <w:t>深圳正围绕福田</w:t>
      </w:r>
      <w:r w:rsidR="000769D3" w:rsidRPr="000769D3">
        <w:rPr>
          <w:rFonts w:cs="Cordia New" w:hint="eastAsia"/>
          <w:sz w:val="21"/>
          <w:szCs w:val="21"/>
        </w:rPr>
        <w:t>CBD</w:t>
      </w:r>
      <w:r w:rsidR="000769D3" w:rsidRPr="000769D3">
        <w:rPr>
          <w:rFonts w:cs="Cordia New" w:hint="eastAsia"/>
          <w:sz w:val="21"/>
          <w:szCs w:val="21"/>
        </w:rPr>
        <w:t>和科技园</w:t>
      </w:r>
      <w:r w:rsidR="000769D3" w:rsidRPr="000769D3">
        <w:rPr>
          <w:rFonts w:cs="Cordia New" w:hint="eastAsia"/>
          <w:sz w:val="21"/>
          <w:szCs w:val="21"/>
        </w:rPr>
        <w:t>-</w:t>
      </w:r>
      <w:r w:rsidR="000769D3" w:rsidRPr="000769D3">
        <w:rPr>
          <w:rFonts w:cs="Cordia New" w:hint="eastAsia"/>
          <w:sz w:val="21"/>
          <w:szCs w:val="21"/>
        </w:rPr>
        <w:t>后海两个城市主中心，加快地铁</w:t>
      </w:r>
      <w:r w:rsidR="000769D3" w:rsidRPr="000769D3">
        <w:rPr>
          <w:rFonts w:cs="Cordia New" w:hint="eastAsia"/>
          <w:sz w:val="21"/>
          <w:szCs w:val="21"/>
        </w:rPr>
        <w:t>5</w:t>
      </w:r>
      <w:r w:rsidR="000769D3" w:rsidRPr="000769D3">
        <w:rPr>
          <w:rFonts w:cs="Cordia New" w:hint="eastAsia"/>
          <w:sz w:val="21"/>
          <w:szCs w:val="21"/>
        </w:rPr>
        <w:t>号线（环中线）周边新型商务区的建设，这包括前海以及西丽留仙洞等片区。</w:t>
      </w:r>
      <w:r w:rsidRPr="00C732A2">
        <w:rPr>
          <w:rFonts w:cs="Cordia New" w:hint="eastAsia"/>
          <w:sz w:val="21"/>
          <w:szCs w:val="21"/>
        </w:rPr>
        <w:t xml:space="preserve"> </w:t>
      </w:r>
    </w:p>
    <w:p w14:paraId="7E1626F0" w14:textId="6ABA4CE4" w:rsidR="00C732A2" w:rsidRDefault="00C732A2" w:rsidP="00C732A2">
      <w:pPr>
        <w:spacing w:after="160" w:line="288" w:lineRule="auto"/>
        <w:ind w:leftChars="-220" w:left="-528" w:rightChars="-220" w:right="-528"/>
        <w:rPr>
          <w:rFonts w:cs="Cordia New"/>
          <w:sz w:val="21"/>
          <w:szCs w:val="21"/>
        </w:rPr>
      </w:pPr>
      <w:r w:rsidRPr="00C732A2">
        <w:rPr>
          <w:rFonts w:cs="Cordia New" w:hint="eastAsia"/>
          <w:sz w:val="21"/>
          <w:szCs w:val="21"/>
        </w:rPr>
        <w:t>“多中心</w:t>
      </w:r>
      <w:r w:rsidR="002E1B20">
        <w:rPr>
          <w:rFonts w:cs="Cordia New" w:hint="eastAsia"/>
          <w:sz w:val="21"/>
          <w:szCs w:val="21"/>
        </w:rPr>
        <w:t>”</w:t>
      </w:r>
      <w:r w:rsidRPr="00C732A2">
        <w:rPr>
          <w:rFonts w:cs="Cordia New" w:hint="eastAsia"/>
          <w:sz w:val="21"/>
          <w:szCs w:val="21"/>
        </w:rPr>
        <w:t>的发展格局对于产业规划和城市发展有着深远意义。</w:t>
      </w:r>
      <w:r w:rsidRPr="007A31C9">
        <w:rPr>
          <w:rFonts w:cs="Cordia New" w:hint="eastAsia"/>
          <w:b/>
          <w:bCs/>
          <w:sz w:val="21"/>
          <w:szCs w:val="21"/>
        </w:rPr>
        <w:t>从产业上讲，它不仅意味着更多的产业载体，更重要的是，它为后续城市产业分布的合理性提供</w:t>
      </w:r>
      <w:r w:rsidR="003318BF">
        <w:rPr>
          <w:rFonts w:cs="Cordia New" w:hint="eastAsia"/>
          <w:b/>
          <w:bCs/>
          <w:sz w:val="21"/>
          <w:szCs w:val="21"/>
        </w:rPr>
        <w:t>调整</w:t>
      </w:r>
      <w:r w:rsidRPr="007A31C9">
        <w:rPr>
          <w:rFonts w:cs="Cordia New" w:hint="eastAsia"/>
          <w:b/>
          <w:bCs/>
          <w:sz w:val="21"/>
          <w:szCs w:val="21"/>
        </w:rPr>
        <w:t>及改善的契机，指导着城市产业转移的方向。</w:t>
      </w:r>
      <w:r w:rsidR="002C1A77" w:rsidRPr="00C732A2">
        <w:rPr>
          <w:rFonts w:cs="Cordia New" w:hint="eastAsia"/>
          <w:sz w:val="21"/>
          <w:szCs w:val="21"/>
        </w:rPr>
        <w:t>“</w:t>
      </w:r>
      <w:r w:rsidRPr="00C732A2">
        <w:rPr>
          <w:rFonts w:cs="Cordia New" w:hint="eastAsia"/>
          <w:sz w:val="21"/>
          <w:szCs w:val="21"/>
        </w:rPr>
        <w:t>多中心</w:t>
      </w:r>
      <w:r w:rsidR="00772216">
        <w:rPr>
          <w:rFonts w:cs="Cordia New" w:hint="eastAsia"/>
          <w:sz w:val="21"/>
          <w:szCs w:val="21"/>
        </w:rPr>
        <w:t>”</w:t>
      </w:r>
      <w:r w:rsidRPr="00C732A2">
        <w:rPr>
          <w:rFonts w:cs="Cordia New" w:hint="eastAsia"/>
          <w:sz w:val="21"/>
          <w:szCs w:val="21"/>
        </w:rPr>
        <w:t>将实现对资源的合理分配，减轻原本市中心的负担。可以预见</w:t>
      </w:r>
      <w:r w:rsidR="003318BF">
        <w:rPr>
          <w:rFonts w:cs="Cordia New" w:hint="eastAsia"/>
          <w:sz w:val="21"/>
          <w:szCs w:val="21"/>
        </w:rPr>
        <w:t>，</w:t>
      </w:r>
      <w:r w:rsidRPr="00C732A2">
        <w:rPr>
          <w:rFonts w:cs="Cordia New" w:hint="eastAsia"/>
          <w:sz w:val="21"/>
          <w:szCs w:val="21"/>
        </w:rPr>
        <w:t>新型商务区将承担更多城市分区的综合服务职能，带动片区整体发展。</w:t>
      </w:r>
    </w:p>
    <w:p w14:paraId="41408839" w14:textId="3379CE96" w:rsidR="000769D3" w:rsidRPr="00C732A2" w:rsidRDefault="00C900CE" w:rsidP="000769D3">
      <w:pPr>
        <w:spacing w:after="160" w:line="288" w:lineRule="auto"/>
        <w:ind w:leftChars="-220" w:left="-528" w:rightChars="-220" w:right="-528"/>
        <w:rPr>
          <w:rFonts w:cs="Cordia New"/>
          <w:sz w:val="21"/>
          <w:szCs w:val="21"/>
        </w:rPr>
      </w:pPr>
      <w:r w:rsidRPr="00C900CE">
        <w:rPr>
          <w:rFonts w:cs="Cordia New" w:hint="eastAsia"/>
          <w:b/>
          <w:bCs/>
          <w:sz w:val="21"/>
          <w:szCs w:val="21"/>
        </w:rPr>
        <w:t>仲量联行华南区研究部总监曾丽</w:t>
      </w:r>
      <w:r>
        <w:rPr>
          <w:rFonts w:cs="Cordia New" w:hint="eastAsia"/>
          <w:sz w:val="21"/>
          <w:szCs w:val="21"/>
        </w:rPr>
        <w:t>认为，“</w:t>
      </w:r>
      <w:r w:rsidR="000769D3" w:rsidRPr="000769D3">
        <w:rPr>
          <w:rFonts w:cs="Cordia New" w:hint="eastAsia"/>
          <w:sz w:val="21"/>
          <w:szCs w:val="21"/>
        </w:rPr>
        <w:t>如果新中心所处的地理位置能满足以下三种情形之一，即湾区轴带与城市圈层交汇处</w:t>
      </w:r>
      <w:r w:rsidR="00737AEC">
        <w:rPr>
          <w:rFonts w:cs="Cordia New" w:hint="eastAsia"/>
          <w:sz w:val="21"/>
          <w:szCs w:val="21"/>
        </w:rPr>
        <w:t>、</w:t>
      </w:r>
      <w:r w:rsidR="000769D3" w:rsidRPr="000769D3">
        <w:rPr>
          <w:rFonts w:cs="Cordia New" w:hint="eastAsia"/>
          <w:sz w:val="21"/>
          <w:szCs w:val="21"/>
        </w:rPr>
        <w:t>湾区轴带与城市轴带交汇处</w:t>
      </w:r>
      <w:r w:rsidR="00737AEC">
        <w:rPr>
          <w:rFonts w:cs="Cordia New" w:hint="eastAsia"/>
          <w:sz w:val="21"/>
          <w:szCs w:val="21"/>
        </w:rPr>
        <w:t>、</w:t>
      </w:r>
      <w:r w:rsidR="000769D3" w:rsidRPr="000769D3">
        <w:rPr>
          <w:rFonts w:cs="Cordia New" w:hint="eastAsia"/>
          <w:sz w:val="21"/>
          <w:szCs w:val="21"/>
        </w:rPr>
        <w:t>湾区内外环间的中继节点，那么</w:t>
      </w:r>
      <w:r>
        <w:rPr>
          <w:rFonts w:cs="Cordia New" w:hint="eastAsia"/>
          <w:sz w:val="21"/>
          <w:szCs w:val="21"/>
        </w:rPr>
        <w:t>这些新中心</w:t>
      </w:r>
      <w:r w:rsidR="003318BF">
        <w:rPr>
          <w:rFonts w:cs="Cordia New" w:hint="eastAsia"/>
          <w:sz w:val="21"/>
          <w:szCs w:val="21"/>
        </w:rPr>
        <w:t>将</w:t>
      </w:r>
      <w:r w:rsidR="000769D3" w:rsidRPr="000769D3">
        <w:rPr>
          <w:rFonts w:cs="Cordia New" w:hint="eastAsia"/>
          <w:sz w:val="21"/>
          <w:szCs w:val="21"/>
        </w:rPr>
        <w:t>在未来实现更高质量、更有效率的经济发展。</w:t>
      </w:r>
      <w:r>
        <w:rPr>
          <w:rFonts w:cs="Cordia New" w:hint="eastAsia"/>
          <w:sz w:val="21"/>
          <w:szCs w:val="21"/>
        </w:rPr>
        <w:t>”</w:t>
      </w:r>
    </w:p>
    <w:p w14:paraId="32E0BDE6" w14:textId="77777777" w:rsidR="00C732A2" w:rsidRPr="00C732A2" w:rsidRDefault="00C732A2" w:rsidP="00C732A2">
      <w:pPr>
        <w:spacing w:after="160" w:line="288" w:lineRule="auto"/>
        <w:ind w:leftChars="-220" w:left="-528" w:rightChars="-220" w:right="-528"/>
        <w:rPr>
          <w:rFonts w:cs="Cordia New"/>
          <w:sz w:val="21"/>
          <w:szCs w:val="21"/>
        </w:rPr>
      </w:pPr>
    </w:p>
    <w:p w14:paraId="6027DF31" w14:textId="3C62C334" w:rsidR="00C732A2" w:rsidRPr="00983FC6" w:rsidRDefault="00737AEC" w:rsidP="00C732A2">
      <w:pPr>
        <w:spacing w:after="160" w:line="288" w:lineRule="auto"/>
        <w:ind w:leftChars="-220" w:left="-528" w:rightChars="-220" w:right="-528"/>
        <w:rPr>
          <w:rFonts w:ascii="等线" w:hAnsi="等线"/>
          <w:b/>
          <w:bCs/>
          <w:color w:val="E30613"/>
          <w:sz w:val="21"/>
          <w:szCs w:val="21"/>
          <w:lang w:val="en-GB"/>
        </w:rPr>
      </w:pPr>
      <w:r w:rsidRPr="00737AEC">
        <w:rPr>
          <w:rFonts w:ascii="等线" w:hAnsi="等线" w:hint="eastAsia"/>
          <w:b/>
          <w:bCs/>
          <w:color w:val="E30613"/>
          <w:sz w:val="21"/>
          <w:szCs w:val="21"/>
          <w:lang w:val="en-GB"/>
        </w:rPr>
        <w:t>产业互动“彩虹带”持续提升节点能级，强化湾区科技与产业共振</w:t>
      </w:r>
    </w:p>
    <w:p w14:paraId="535A5F00" w14:textId="5B4C58E2" w:rsidR="00C3647B" w:rsidRDefault="00C732A2" w:rsidP="00C732A2">
      <w:pPr>
        <w:spacing w:after="160" w:line="288" w:lineRule="auto"/>
        <w:ind w:leftChars="-220" w:left="-528" w:rightChars="-220" w:right="-528"/>
        <w:rPr>
          <w:rFonts w:cs="Cordia New"/>
          <w:sz w:val="21"/>
          <w:szCs w:val="21"/>
        </w:rPr>
      </w:pPr>
      <w:r w:rsidRPr="00C732A2">
        <w:rPr>
          <w:rFonts w:cs="Cordia New" w:hint="eastAsia"/>
          <w:sz w:val="21"/>
          <w:szCs w:val="21"/>
        </w:rPr>
        <w:t>现阶段，粤港澳大湾区各城市享有不同的资源优势及功能地位，协同互补的空间巨大。</w:t>
      </w:r>
      <w:r w:rsidR="00D72B37">
        <w:rPr>
          <w:rFonts w:cs="Cordia New" w:hint="eastAsia"/>
          <w:sz w:val="21"/>
          <w:szCs w:val="21"/>
        </w:rPr>
        <w:t>根据仲量联行研究</w:t>
      </w:r>
      <w:r w:rsidR="00D72B37" w:rsidRPr="00D72B37">
        <w:rPr>
          <w:rFonts w:cs="Cordia New" w:hint="eastAsia"/>
          <w:sz w:val="21"/>
          <w:szCs w:val="21"/>
        </w:rPr>
        <w:t>，未来大湾区的产业互动将呈现</w:t>
      </w:r>
      <w:r w:rsidR="00C3647B" w:rsidRPr="007A31C9">
        <w:rPr>
          <w:rFonts w:cs="Cordia New" w:hint="eastAsia"/>
          <w:b/>
          <w:bCs/>
          <w:sz w:val="21"/>
          <w:szCs w:val="21"/>
        </w:rPr>
        <w:t>六大模式</w:t>
      </w:r>
      <w:r w:rsidR="00C3647B">
        <w:rPr>
          <w:rFonts w:cs="Cordia New" w:hint="eastAsia"/>
          <w:b/>
          <w:bCs/>
          <w:sz w:val="21"/>
          <w:szCs w:val="21"/>
        </w:rPr>
        <w:t>：</w:t>
      </w:r>
    </w:p>
    <w:p w14:paraId="13179EB8" w14:textId="77777777" w:rsidR="00C3647B" w:rsidRPr="00C3647B" w:rsidRDefault="00D72B37" w:rsidP="00C3647B">
      <w:pPr>
        <w:pStyle w:val="a8"/>
        <w:numPr>
          <w:ilvl w:val="0"/>
          <w:numId w:val="7"/>
        </w:numPr>
        <w:spacing w:after="160" w:line="288" w:lineRule="auto"/>
        <w:ind w:rightChars="-220" w:right="-528"/>
        <w:rPr>
          <w:rFonts w:cs="Cordia New"/>
          <w:sz w:val="21"/>
          <w:szCs w:val="21"/>
        </w:rPr>
      </w:pPr>
      <w:r w:rsidRPr="00C3647B">
        <w:rPr>
          <w:rFonts w:cs="Cordia New" w:hint="eastAsia"/>
          <w:sz w:val="21"/>
          <w:szCs w:val="21"/>
        </w:rPr>
        <w:t>产业链协作驱动</w:t>
      </w:r>
    </w:p>
    <w:p w14:paraId="0291805E" w14:textId="77777777" w:rsidR="00C3647B" w:rsidRPr="00C3647B" w:rsidRDefault="00D72B37" w:rsidP="00C3647B">
      <w:pPr>
        <w:pStyle w:val="a8"/>
        <w:numPr>
          <w:ilvl w:val="0"/>
          <w:numId w:val="7"/>
        </w:numPr>
        <w:spacing w:after="160" w:line="288" w:lineRule="auto"/>
        <w:ind w:rightChars="-220" w:right="-528"/>
        <w:rPr>
          <w:rFonts w:cs="Cordia New"/>
          <w:sz w:val="21"/>
          <w:szCs w:val="21"/>
        </w:rPr>
      </w:pPr>
      <w:r w:rsidRPr="00C3647B">
        <w:rPr>
          <w:rFonts w:cs="Cordia New" w:hint="eastAsia"/>
          <w:sz w:val="21"/>
          <w:szCs w:val="21"/>
        </w:rPr>
        <w:t>产业升级驱动</w:t>
      </w:r>
    </w:p>
    <w:p w14:paraId="74BCCF00" w14:textId="77777777" w:rsidR="00C3647B" w:rsidRPr="00C3647B" w:rsidRDefault="00D72B37" w:rsidP="00C3647B">
      <w:pPr>
        <w:pStyle w:val="a8"/>
        <w:numPr>
          <w:ilvl w:val="0"/>
          <w:numId w:val="7"/>
        </w:numPr>
        <w:spacing w:after="160" w:line="288" w:lineRule="auto"/>
        <w:ind w:rightChars="-220" w:right="-528"/>
        <w:rPr>
          <w:rFonts w:cs="Cordia New"/>
          <w:sz w:val="21"/>
          <w:szCs w:val="21"/>
        </w:rPr>
      </w:pPr>
      <w:r w:rsidRPr="00C3647B">
        <w:rPr>
          <w:rFonts w:cs="Cordia New" w:hint="eastAsia"/>
          <w:sz w:val="21"/>
          <w:szCs w:val="21"/>
        </w:rPr>
        <w:t>市场导向驱动</w:t>
      </w:r>
    </w:p>
    <w:p w14:paraId="457F0941" w14:textId="77777777" w:rsidR="00C3647B" w:rsidRPr="00C3647B" w:rsidRDefault="00D72B37" w:rsidP="00C3647B">
      <w:pPr>
        <w:pStyle w:val="a8"/>
        <w:numPr>
          <w:ilvl w:val="0"/>
          <w:numId w:val="7"/>
        </w:numPr>
        <w:spacing w:after="160" w:line="288" w:lineRule="auto"/>
        <w:ind w:rightChars="-220" w:right="-528"/>
        <w:rPr>
          <w:rFonts w:cs="Cordia New"/>
          <w:sz w:val="21"/>
          <w:szCs w:val="21"/>
        </w:rPr>
      </w:pPr>
      <w:r w:rsidRPr="00C3647B">
        <w:rPr>
          <w:rFonts w:cs="Cordia New" w:hint="eastAsia"/>
          <w:sz w:val="21"/>
          <w:szCs w:val="21"/>
        </w:rPr>
        <w:t>技术革新驱动</w:t>
      </w:r>
    </w:p>
    <w:p w14:paraId="60C0C18C" w14:textId="77777777" w:rsidR="00C3647B" w:rsidRPr="00C3647B" w:rsidRDefault="00D72B37" w:rsidP="00C3647B">
      <w:pPr>
        <w:pStyle w:val="a8"/>
        <w:numPr>
          <w:ilvl w:val="0"/>
          <w:numId w:val="7"/>
        </w:numPr>
        <w:spacing w:after="160" w:line="288" w:lineRule="auto"/>
        <w:ind w:rightChars="-220" w:right="-528"/>
        <w:rPr>
          <w:rFonts w:cs="Cordia New"/>
          <w:sz w:val="21"/>
          <w:szCs w:val="21"/>
        </w:rPr>
      </w:pPr>
      <w:r w:rsidRPr="00C3647B">
        <w:rPr>
          <w:rFonts w:cs="Cordia New" w:hint="eastAsia"/>
          <w:sz w:val="21"/>
          <w:szCs w:val="21"/>
        </w:rPr>
        <w:t>产业融合驱动</w:t>
      </w:r>
    </w:p>
    <w:p w14:paraId="2B71D1BF" w14:textId="1AFAB989" w:rsidR="00C3647B" w:rsidRPr="00C3647B" w:rsidRDefault="00D72B37" w:rsidP="00C3647B">
      <w:pPr>
        <w:pStyle w:val="a8"/>
        <w:numPr>
          <w:ilvl w:val="0"/>
          <w:numId w:val="7"/>
        </w:numPr>
        <w:spacing w:after="160" w:line="288" w:lineRule="auto"/>
        <w:ind w:rightChars="-220" w:right="-528"/>
        <w:rPr>
          <w:rFonts w:cs="Cordia New"/>
          <w:sz w:val="21"/>
          <w:szCs w:val="21"/>
        </w:rPr>
      </w:pPr>
      <w:r w:rsidRPr="00C3647B">
        <w:rPr>
          <w:rFonts w:cs="Cordia New" w:hint="eastAsia"/>
          <w:sz w:val="21"/>
          <w:szCs w:val="21"/>
        </w:rPr>
        <w:t>产业支撑驱动</w:t>
      </w:r>
    </w:p>
    <w:p w14:paraId="7782E237" w14:textId="62F73019" w:rsidR="00D72B37" w:rsidRDefault="00D72B37" w:rsidP="00C732A2">
      <w:pPr>
        <w:spacing w:after="160" w:line="288" w:lineRule="auto"/>
        <w:ind w:leftChars="-220" w:left="-528" w:rightChars="-220" w:right="-528"/>
        <w:rPr>
          <w:rFonts w:cs="Cordia New"/>
          <w:sz w:val="21"/>
          <w:szCs w:val="21"/>
        </w:rPr>
      </w:pPr>
      <w:r w:rsidRPr="0063779E">
        <w:rPr>
          <w:rFonts w:cs="Cordia New" w:hint="eastAsia"/>
          <w:b/>
          <w:bCs/>
          <w:sz w:val="21"/>
          <w:szCs w:val="21"/>
        </w:rPr>
        <w:t>曾丽</w:t>
      </w:r>
      <w:r>
        <w:rPr>
          <w:rFonts w:cs="Cordia New" w:hint="eastAsia"/>
          <w:sz w:val="21"/>
          <w:szCs w:val="21"/>
        </w:rPr>
        <w:t>强调，“</w:t>
      </w:r>
      <w:r w:rsidRPr="00D72B37">
        <w:rPr>
          <w:rFonts w:cs="Cordia New" w:hint="eastAsia"/>
          <w:sz w:val="21"/>
          <w:szCs w:val="21"/>
        </w:rPr>
        <w:t>未来大湾区不应局限在城市间简单的技术溢出，而应着眼于更高层次的产业互动，打造有效衔接、有序协调的产业网络组织架构，以支撑国内大循环为主体的增长模式。</w:t>
      </w:r>
      <w:r w:rsidR="00BD609D">
        <w:rPr>
          <w:rFonts w:cs="Cordia New" w:hint="eastAsia"/>
          <w:sz w:val="21"/>
          <w:szCs w:val="21"/>
        </w:rPr>
        <w:t>”</w:t>
      </w:r>
    </w:p>
    <w:p w14:paraId="50F7BB1B" w14:textId="445D33F9" w:rsidR="00D72B37" w:rsidRDefault="00C732A2" w:rsidP="002565AD">
      <w:pPr>
        <w:spacing w:after="160" w:line="288" w:lineRule="auto"/>
        <w:ind w:leftChars="-220" w:left="-528" w:rightChars="-220" w:right="-528"/>
        <w:rPr>
          <w:rFonts w:cs="Cordia New"/>
          <w:sz w:val="21"/>
          <w:szCs w:val="21"/>
        </w:rPr>
      </w:pPr>
      <w:r w:rsidRPr="00C732A2">
        <w:rPr>
          <w:rFonts w:cs="Cordia New" w:hint="eastAsia"/>
          <w:sz w:val="21"/>
          <w:szCs w:val="21"/>
        </w:rPr>
        <w:lastRenderedPageBreak/>
        <w:t>仲量联行通过对大湾区产业互动的研究，发现</w:t>
      </w:r>
      <w:r w:rsidRPr="007A31C9">
        <w:rPr>
          <w:rFonts w:cs="Cordia New" w:hint="eastAsia"/>
          <w:b/>
          <w:bCs/>
          <w:sz w:val="21"/>
          <w:szCs w:val="21"/>
        </w:rPr>
        <w:t>大湾区产业互动较强的节点能够形成一条由核心城市牵引、重点基础设施项目串联的产业互动“彩虹带”。</w:t>
      </w:r>
      <w:r w:rsidR="002565AD" w:rsidRPr="002565AD">
        <w:rPr>
          <w:rFonts w:cs="Cordia New" w:hint="eastAsia"/>
          <w:sz w:val="21"/>
          <w:szCs w:val="21"/>
        </w:rPr>
        <w:t>结合一线城市“多中心”的趋势，像广州东部区域、深圳前海等节点的产业发展路径将体现出较强的产业互动。在规模经济和交通成本优势等因素的影响下，预计这些节点的产业规模有机会迅速扩大，</w:t>
      </w:r>
      <w:r w:rsidR="003318BF">
        <w:rPr>
          <w:rFonts w:cs="Cordia New" w:hint="eastAsia"/>
          <w:sz w:val="21"/>
          <w:szCs w:val="21"/>
        </w:rPr>
        <w:t>市场</w:t>
      </w:r>
      <w:r w:rsidR="002565AD" w:rsidRPr="002565AD">
        <w:rPr>
          <w:rFonts w:cs="Cordia New" w:hint="eastAsia"/>
          <w:sz w:val="21"/>
          <w:szCs w:val="21"/>
        </w:rPr>
        <w:t>对产业载体的需求也将与日俱增。</w:t>
      </w:r>
      <w:r w:rsidR="002565AD">
        <w:rPr>
          <w:rFonts w:cs="Cordia New" w:hint="eastAsia"/>
          <w:sz w:val="21"/>
          <w:szCs w:val="21"/>
        </w:rPr>
        <w:t>而且</w:t>
      </w:r>
      <w:r w:rsidR="002565AD" w:rsidRPr="002565AD">
        <w:rPr>
          <w:rFonts w:cs="Cordia New" w:hint="eastAsia"/>
          <w:sz w:val="21"/>
          <w:szCs w:val="21"/>
        </w:rPr>
        <w:t>，</w:t>
      </w:r>
      <w:r w:rsidR="002565AD" w:rsidRPr="007A31C9">
        <w:rPr>
          <w:rFonts w:cs="Cordia New" w:hint="eastAsia"/>
          <w:b/>
          <w:bCs/>
          <w:sz w:val="21"/>
          <w:szCs w:val="21"/>
        </w:rPr>
        <w:t>有赖于大湾区将科技与产业有机结合的优势，大湾区在产业互动方面走在全国前列</w:t>
      </w:r>
      <w:r w:rsidR="002565AD" w:rsidRPr="002565AD">
        <w:rPr>
          <w:rFonts w:cs="Cordia New" w:hint="eastAsia"/>
          <w:sz w:val="21"/>
          <w:szCs w:val="21"/>
        </w:rPr>
        <w:t>。产业种类及互动模式的多样性将赋予非核心城市的多个节点以新的发展动能，例如东莞滨海湾新区及中山翠亨新区均有较大潜力。特别是在大湾区双环式发展的背景下，生产要素流动与匹配效率的大幅提高使得这些节点能更好融入大湾区产业互动“彩虹带”当中。</w:t>
      </w:r>
    </w:p>
    <w:p w14:paraId="19EAB2AD" w14:textId="3B274BE9" w:rsidR="00B7436A" w:rsidRDefault="00517258" w:rsidP="007A31C9">
      <w:pPr>
        <w:spacing w:after="160" w:line="288" w:lineRule="auto"/>
        <w:ind w:leftChars="-220" w:left="-528" w:rightChars="-220" w:right="-528"/>
        <w:jc w:val="center"/>
        <w:rPr>
          <w:rFonts w:cs="Cordia New"/>
          <w:sz w:val="21"/>
          <w:szCs w:val="21"/>
        </w:rPr>
      </w:pPr>
      <w:r>
        <w:rPr>
          <w:noProof/>
        </w:rPr>
        <w:drawing>
          <wp:inline distT="0" distB="0" distL="0" distR="0" wp14:anchorId="08D3C285" wp14:editId="0AACA40E">
            <wp:extent cx="4222809" cy="2672729"/>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0737" cy="2677747"/>
                    </a:xfrm>
                    <a:prstGeom prst="rect">
                      <a:avLst/>
                    </a:prstGeom>
                    <a:noFill/>
                    <a:ln>
                      <a:noFill/>
                    </a:ln>
                  </pic:spPr>
                </pic:pic>
              </a:graphicData>
            </a:graphic>
          </wp:inline>
        </w:drawing>
      </w:r>
    </w:p>
    <w:p w14:paraId="3797559C" w14:textId="77777777" w:rsidR="00C3647B" w:rsidRDefault="00C3647B" w:rsidP="002565AD">
      <w:pPr>
        <w:spacing w:after="160" w:line="288" w:lineRule="auto"/>
        <w:ind w:leftChars="-220" w:left="-528" w:rightChars="-220" w:right="-528"/>
        <w:rPr>
          <w:rFonts w:cs="Cordia New"/>
          <w:sz w:val="21"/>
          <w:szCs w:val="21"/>
        </w:rPr>
      </w:pPr>
    </w:p>
    <w:p w14:paraId="74AA4C50" w14:textId="2036CAC9" w:rsidR="00C732A2" w:rsidRPr="00C732A2" w:rsidRDefault="002565AD" w:rsidP="002565AD">
      <w:pPr>
        <w:spacing w:after="160" w:line="288" w:lineRule="auto"/>
        <w:ind w:leftChars="-220" w:left="-528" w:rightChars="-220" w:right="-528"/>
        <w:rPr>
          <w:rFonts w:cs="Cordia New"/>
          <w:sz w:val="21"/>
          <w:szCs w:val="21"/>
        </w:rPr>
      </w:pPr>
      <w:r w:rsidRPr="002565AD">
        <w:rPr>
          <w:rFonts w:cs="Cordia New" w:hint="eastAsia"/>
          <w:sz w:val="21"/>
          <w:szCs w:val="21"/>
        </w:rPr>
        <w:t>随着大湾区产业互动的不断深入与互动产业规模的不断扩大，无论是核心城市还是非核心城市的产业互动节点都将迎来能级提升。这将大大强化大湾区在结合科技与产业方面的</w:t>
      </w:r>
      <w:r w:rsidR="00EA36F0">
        <w:rPr>
          <w:rFonts w:cs="Cordia New" w:hint="eastAsia"/>
          <w:sz w:val="21"/>
          <w:szCs w:val="21"/>
        </w:rPr>
        <w:t>既</w:t>
      </w:r>
      <w:r w:rsidRPr="002565AD">
        <w:rPr>
          <w:rFonts w:cs="Cordia New" w:hint="eastAsia"/>
          <w:sz w:val="21"/>
          <w:szCs w:val="21"/>
        </w:rPr>
        <w:t>有优势，为新一代信息技术、人工智能、智能终端、智能网联汽车等高端产业的发展提供持续的动力。</w:t>
      </w:r>
    </w:p>
    <w:p w14:paraId="2233455E" w14:textId="77777777" w:rsidR="00C3647B" w:rsidRDefault="00C3647B" w:rsidP="00456A7F">
      <w:pPr>
        <w:spacing w:after="160" w:line="288" w:lineRule="auto"/>
        <w:ind w:leftChars="-220" w:left="-528" w:rightChars="-220" w:right="-528"/>
        <w:rPr>
          <w:rFonts w:cs="Cordia New"/>
          <w:sz w:val="21"/>
          <w:szCs w:val="21"/>
        </w:rPr>
      </w:pPr>
    </w:p>
    <w:p w14:paraId="0431438E" w14:textId="43BC19B6" w:rsidR="00456A7F" w:rsidRDefault="00456A7F" w:rsidP="00456A7F">
      <w:pPr>
        <w:spacing w:after="160" w:line="288" w:lineRule="auto"/>
        <w:ind w:leftChars="-220" w:left="-528" w:rightChars="-220" w:right="-528"/>
        <w:rPr>
          <w:rFonts w:cs="Cordia New"/>
          <w:sz w:val="21"/>
          <w:szCs w:val="21"/>
        </w:rPr>
      </w:pPr>
      <w:r w:rsidRPr="005F3EC6">
        <w:rPr>
          <w:rFonts w:cs="Cordia New" w:hint="eastAsia"/>
          <w:sz w:val="21"/>
          <w:szCs w:val="21"/>
        </w:rPr>
        <w:t>欲了解报告完整内容，敬请点击下载</w:t>
      </w:r>
      <w:hyperlink r:id="rId12" w:history="1">
        <w:r w:rsidRPr="00F258AB">
          <w:rPr>
            <w:rStyle w:val="a7"/>
            <w:rFonts w:ascii="等线" w:hAnsi="等线" w:hint="eastAsia"/>
            <w:b/>
            <w:bCs/>
            <w:sz w:val="21"/>
            <w:szCs w:val="21"/>
            <w:lang w:val="en-GB"/>
          </w:rPr>
          <w:t>《</w:t>
        </w:r>
        <w:r w:rsidR="008B63B9" w:rsidRPr="00F258AB">
          <w:rPr>
            <w:rStyle w:val="a7"/>
            <w:rFonts w:ascii="等线" w:hAnsi="等线" w:hint="eastAsia"/>
            <w:b/>
            <w:bCs/>
            <w:sz w:val="21"/>
            <w:szCs w:val="21"/>
            <w:lang w:val="en-GB"/>
          </w:rPr>
          <w:t>重构粤港澳大湾区产业圈层与空间布局</w:t>
        </w:r>
        <w:r w:rsidRPr="00F258AB">
          <w:rPr>
            <w:rStyle w:val="a7"/>
            <w:rFonts w:ascii="等线" w:hAnsi="等线" w:hint="eastAsia"/>
            <w:b/>
            <w:bCs/>
            <w:sz w:val="21"/>
            <w:szCs w:val="21"/>
            <w:lang w:val="en-GB"/>
          </w:rPr>
          <w:t>》</w:t>
        </w:r>
      </w:hyperlink>
      <w:r w:rsidRPr="005F3EC6">
        <w:rPr>
          <w:rFonts w:cs="Cordia New" w:hint="eastAsia"/>
          <w:sz w:val="21"/>
          <w:szCs w:val="21"/>
        </w:rPr>
        <w:t>，</w:t>
      </w:r>
      <w:r w:rsidR="002C171E" w:rsidRPr="005F3EC6">
        <w:rPr>
          <w:rFonts w:cs="Cordia New" w:hint="eastAsia"/>
          <w:sz w:val="21"/>
          <w:szCs w:val="21"/>
        </w:rPr>
        <w:t>7</w:t>
      </w:r>
      <w:r w:rsidR="002C171E" w:rsidRPr="005F3EC6">
        <w:rPr>
          <w:rFonts w:cs="Cordia New" w:hint="eastAsia"/>
          <w:sz w:val="21"/>
          <w:szCs w:val="21"/>
        </w:rPr>
        <w:t>月</w:t>
      </w:r>
      <w:r w:rsidR="002C171E" w:rsidRPr="005F3EC6">
        <w:rPr>
          <w:rFonts w:cs="Cordia New" w:hint="eastAsia"/>
          <w:sz w:val="21"/>
          <w:szCs w:val="21"/>
        </w:rPr>
        <w:t>7</w:t>
      </w:r>
      <w:r w:rsidR="002C171E" w:rsidRPr="005F3EC6">
        <w:rPr>
          <w:rFonts w:cs="Cordia New" w:hint="eastAsia"/>
          <w:sz w:val="21"/>
          <w:szCs w:val="21"/>
        </w:rPr>
        <w:t>日</w:t>
      </w:r>
      <w:r w:rsidR="0029332D" w:rsidRPr="005F3EC6">
        <w:rPr>
          <w:rFonts w:cs="Cordia New" w:hint="eastAsia"/>
          <w:sz w:val="21"/>
          <w:szCs w:val="21"/>
        </w:rPr>
        <w:t>15:</w:t>
      </w:r>
      <w:r w:rsidR="0029332D" w:rsidRPr="005F3EC6">
        <w:rPr>
          <w:rFonts w:cs="Cordia New"/>
          <w:sz w:val="21"/>
          <w:szCs w:val="21"/>
        </w:rPr>
        <w:t>00</w:t>
      </w:r>
      <w:r w:rsidR="002C171E" w:rsidRPr="005F3EC6">
        <w:rPr>
          <w:rFonts w:cs="Cordia New" w:hint="eastAsia"/>
          <w:sz w:val="21"/>
          <w:szCs w:val="21"/>
        </w:rPr>
        <w:t>我们将</w:t>
      </w:r>
      <w:r w:rsidR="003318BF" w:rsidRPr="005F3EC6">
        <w:rPr>
          <w:rFonts w:cs="Cordia New" w:hint="eastAsia"/>
          <w:sz w:val="21"/>
          <w:szCs w:val="21"/>
        </w:rPr>
        <w:t>通过</w:t>
      </w:r>
      <w:hyperlink r:id="rId13" w:history="1">
        <w:r w:rsidR="003002E0" w:rsidRPr="008609C7">
          <w:rPr>
            <w:rStyle w:val="a7"/>
            <w:rFonts w:cs="Cordia New" w:hint="eastAsia"/>
            <w:sz w:val="21"/>
            <w:szCs w:val="21"/>
          </w:rPr>
          <w:t>网络</w:t>
        </w:r>
        <w:r w:rsidR="002C171E" w:rsidRPr="008609C7">
          <w:rPr>
            <w:rStyle w:val="a7"/>
            <w:rFonts w:cs="Cordia New" w:hint="eastAsia"/>
            <w:sz w:val="21"/>
            <w:szCs w:val="21"/>
          </w:rPr>
          <w:t>直播</w:t>
        </w:r>
      </w:hyperlink>
      <w:r w:rsidR="002C171E" w:rsidRPr="005F3EC6">
        <w:rPr>
          <w:rFonts w:cs="Cordia New" w:hint="eastAsia"/>
          <w:sz w:val="21"/>
          <w:szCs w:val="21"/>
        </w:rPr>
        <w:t>解读报告，欢迎点击</w:t>
      </w:r>
      <w:r w:rsidR="002C171E" w:rsidRPr="003F59D8">
        <w:rPr>
          <w:rFonts w:cs="Cordia New" w:hint="eastAsia"/>
          <w:sz w:val="21"/>
          <w:szCs w:val="21"/>
        </w:rPr>
        <w:t>链接</w:t>
      </w:r>
      <w:r w:rsidR="002C171E" w:rsidRPr="005F3EC6">
        <w:rPr>
          <w:rFonts w:cs="Cordia New" w:hint="eastAsia"/>
          <w:sz w:val="21"/>
          <w:szCs w:val="21"/>
        </w:rPr>
        <w:t>预约；</w:t>
      </w:r>
      <w:r w:rsidR="00921D1D" w:rsidRPr="005F3EC6">
        <w:rPr>
          <w:rFonts w:cs="Cordia New" w:hint="eastAsia"/>
          <w:sz w:val="21"/>
          <w:szCs w:val="21"/>
        </w:rPr>
        <w:t>访问</w:t>
      </w:r>
      <w:r w:rsidR="00FA1810" w:rsidRPr="005F3EC6">
        <w:rPr>
          <w:rFonts w:cs="Cordia New" w:hint="eastAsia"/>
          <w:sz w:val="21"/>
          <w:szCs w:val="21"/>
        </w:rPr>
        <w:t>“</w:t>
      </w:r>
      <w:hyperlink r:id="rId14" w:history="1">
        <w:r w:rsidR="001B3810" w:rsidRPr="005F3EC6">
          <w:rPr>
            <w:rStyle w:val="a7"/>
            <w:rFonts w:cs="Cordia New" w:hint="eastAsia"/>
            <w:color w:val="E30613"/>
            <w:sz w:val="21"/>
            <w:szCs w:val="21"/>
          </w:rPr>
          <w:t>睿见大湾区</w:t>
        </w:r>
      </w:hyperlink>
      <w:r w:rsidR="00FA1810" w:rsidRPr="00CB09EC">
        <w:rPr>
          <w:rStyle w:val="a7"/>
          <w:rFonts w:cs="Cordia New" w:hint="eastAsia"/>
          <w:color w:val="auto"/>
          <w:sz w:val="21"/>
          <w:szCs w:val="21"/>
          <w:u w:val="none"/>
        </w:rPr>
        <w:t>”</w:t>
      </w:r>
      <w:r w:rsidR="00921D1D" w:rsidRPr="00CB09EC">
        <w:rPr>
          <w:rStyle w:val="a7"/>
          <w:rFonts w:cs="Cordia New" w:hint="eastAsia"/>
          <w:color w:val="auto"/>
          <w:sz w:val="21"/>
          <w:szCs w:val="21"/>
          <w:u w:val="none"/>
        </w:rPr>
        <w:t>，</w:t>
      </w:r>
      <w:r w:rsidR="00921D1D">
        <w:rPr>
          <w:rFonts w:cs="Cordia New" w:hint="eastAsia"/>
          <w:sz w:val="21"/>
          <w:szCs w:val="21"/>
        </w:rPr>
        <w:t>获取</w:t>
      </w:r>
      <w:r w:rsidRPr="00456A7F">
        <w:rPr>
          <w:rFonts w:cs="Cordia New" w:hint="eastAsia"/>
          <w:sz w:val="21"/>
          <w:szCs w:val="21"/>
        </w:rPr>
        <w:t>更多</w:t>
      </w:r>
      <w:r w:rsidR="003318BF">
        <w:rPr>
          <w:rFonts w:cs="Cordia New" w:hint="eastAsia"/>
          <w:sz w:val="21"/>
          <w:szCs w:val="21"/>
        </w:rPr>
        <w:t>大湾区</w:t>
      </w:r>
      <w:r w:rsidR="00921D1D">
        <w:rPr>
          <w:rFonts w:cs="Cordia New" w:hint="eastAsia"/>
          <w:sz w:val="21"/>
          <w:szCs w:val="21"/>
        </w:rPr>
        <w:t>相关</w:t>
      </w:r>
      <w:r w:rsidR="00FA1810">
        <w:rPr>
          <w:rFonts w:cs="Cordia New" w:hint="eastAsia"/>
          <w:sz w:val="21"/>
          <w:szCs w:val="21"/>
        </w:rPr>
        <w:t>研究报告</w:t>
      </w:r>
      <w:r w:rsidRPr="00456A7F">
        <w:rPr>
          <w:rFonts w:cs="Cordia New" w:hint="eastAsia"/>
          <w:sz w:val="21"/>
          <w:szCs w:val="21"/>
        </w:rPr>
        <w:t>。</w:t>
      </w:r>
    </w:p>
    <w:p w14:paraId="160BF91B" w14:textId="77777777" w:rsidR="00C3647B" w:rsidRDefault="00C3647B" w:rsidP="00E21F27">
      <w:pPr>
        <w:spacing w:after="160" w:line="288" w:lineRule="auto"/>
        <w:ind w:leftChars="-220" w:left="-528" w:rightChars="-220" w:right="-528"/>
        <w:rPr>
          <w:rFonts w:cs="Cordia New"/>
          <w:sz w:val="21"/>
          <w:szCs w:val="21"/>
        </w:rPr>
      </w:pPr>
    </w:p>
    <w:p w14:paraId="4E580104" w14:textId="6FCC920D" w:rsidR="00DF6E30" w:rsidRDefault="00DF6E30" w:rsidP="00E21F27">
      <w:pPr>
        <w:spacing w:after="160" w:line="288" w:lineRule="auto"/>
        <w:ind w:leftChars="-220" w:left="-528" w:rightChars="-220" w:right="-528"/>
        <w:rPr>
          <w:rFonts w:cs="Cordia New"/>
          <w:sz w:val="21"/>
          <w:szCs w:val="21"/>
        </w:rPr>
      </w:pPr>
      <w:r>
        <w:rPr>
          <w:rFonts w:cs="Cordia New"/>
          <w:sz w:val="21"/>
          <w:szCs w:val="21"/>
        </w:rPr>
        <w:t xml:space="preserve">                                                                                               </w:t>
      </w:r>
      <w:r w:rsidRPr="00DF6E30">
        <w:rPr>
          <w:rFonts w:cs="Cordia New" w:hint="eastAsia"/>
          <w:sz w:val="21"/>
          <w:szCs w:val="21"/>
        </w:rPr>
        <w:t xml:space="preserve">- </w:t>
      </w:r>
      <w:r w:rsidRPr="00DF6E30">
        <w:rPr>
          <w:rFonts w:cs="Cordia New" w:hint="eastAsia"/>
          <w:sz w:val="21"/>
          <w:szCs w:val="21"/>
        </w:rPr>
        <w:t>完</w:t>
      </w:r>
      <w:r w:rsidRPr="00DF6E30">
        <w:rPr>
          <w:rFonts w:cs="Cordia New" w:hint="eastAsia"/>
          <w:sz w:val="21"/>
          <w:szCs w:val="21"/>
        </w:rPr>
        <w:t xml:space="preserve"> -</w:t>
      </w:r>
    </w:p>
    <w:p w14:paraId="5CC50388" w14:textId="77777777" w:rsidR="00C3647B" w:rsidRDefault="00C3647B" w:rsidP="00DF6E30">
      <w:pPr>
        <w:spacing w:after="160" w:line="288" w:lineRule="auto"/>
        <w:ind w:leftChars="-220" w:left="-528" w:rightChars="-220" w:right="-528"/>
        <w:rPr>
          <w:rFonts w:cs="Cordia New"/>
          <w:b/>
          <w:bCs/>
          <w:sz w:val="22"/>
          <w:szCs w:val="22"/>
        </w:rPr>
      </w:pPr>
    </w:p>
    <w:p w14:paraId="1E202FF4" w14:textId="6460485D" w:rsidR="00DF6E30" w:rsidRPr="000B59F6" w:rsidRDefault="00DF6E30" w:rsidP="00DF6E30">
      <w:pPr>
        <w:spacing w:after="160" w:line="288" w:lineRule="auto"/>
        <w:ind w:leftChars="-220" w:left="-528" w:rightChars="-220" w:right="-528"/>
        <w:rPr>
          <w:rFonts w:cs="Cordia New"/>
          <w:b/>
          <w:bCs/>
          <w:sz w:val="22"/>
          <w:szCs w:val="22"/>
        </w:rPr>
      </w:pPr>
      <w:r w:rsidRPr="000B59F6">
        <w:rPr>
          <w:rFonts w:cs="Cordia New" w:hint="eastAsia"/>
          <w:b/>
          <w:bCs/>
          <w:sz w:val="22"/>
          <w:szCs w:val="22"/>
        </w:rPr>
        <w:t>关于仲量联行</w:t>
      </w:r>
    </w:p>
    <w:p w14:paraId="3F4472E7" w14:textId="5CF997A7" w:rsidR="001A07B6" w:rsidRPr="000B59F6" w:rsidRDefault="00697719" w:rsidP="001A07B6">
      <w:pPr>
        <w:spacing w:after="160" w:line="288" w:lineRule="auto"/>
        <w:ind w:leftChars="-220" w:left="-528" w:rightChars="-220" w:right="-528"/>
        <w:rPr>
          <w:rFonts w:cs="Cordia New"/>
          <w:i/>
          <w:iCs/>
          <w:sz w:val="21"/>
          <w:szCs w:val="21"/>
        </w:rPr>
      </w:pPr>
      <w:r w:rsidRPr="00697719">
        <w:rPr>
          <w:rFonts w:cs="Cordia New" w:hint="eastAsia"/>
          <w:i/>
          <w:iCs/>
          <w:sz w:val="21"/>
          <w:szCs w:val="21"/>
        </w:rPr>
        <w:t>仲量联行（纽交所交易代码：</w:t>
      </w:r>
      <w:r w:rsidRPr="00697719">
        <w:rPr>
          <w:rFonts w:cs="Cordia New" w:hint="eastAsia"/>
          <w:i/>
          <w:iCs/>
          <w:sz w:val="21"/>
          <w:szCs w:val="21"/>
        </w:rPr>
        <w:t>JLL</w:t>
      </w:r>
      <w:r w:rsidRPr="00697719">
        <w:rPr>
          <w:rFonts w:cs="Cordia New" w:hint="eastAsia"/>
          <w:i/>
          <w:iCs/>
          <w:sz w:val="21"/>
          <w:szCs w:val="21"/>
        </w:rPr>
        <w:t>）是全球领先的房地产专业服务和投资管理公司。凭借行业领先的科技应用，我们始终致力于为客户、员工和社群创造机遇、打造理想空间、提供可持续的房地产解决方案；并不断重塑房地产未来，创造更美好明天。仲量联行是《财富》</w:t>
      </w:r>
      <w:r w:rsidRPr="00697719">
        <w:rPr>
          <w:rFonts w:cs="Cordia New" w:hint="eastAsia"/>
          <w:i/>
          <w:iCs/>
          <w:sz w:val="21"/>
          <w:szCs w:val="21"/>
        </w:rPr>
        <w:t>500</w:t>
      </w:r>
      <w:r w:rsidRPr="00697719">
        <w:rPr>
          <w:rFonts w:cs="Cordia New" w:hint="eastAsia"/>
          <w:i/>
          <w:iCs/>
          <w:sz w:val="21"/>
          <w:szCs w:val="21"/>
        </w:rPr>
        <w:t>强企业，截至</w:t>
      </w:r>
      <w:r w:rsidRPr="00697719">
        <w:rPr>
          <w:rFonts w:cs="Cordia New" w:hint="eastAsia"/>
          <w:i/>
          <w:iCs/>
          <w:sz w:val="21"/>
          <w:szCs w:val="21"/>
        </w:rPr>
        <w:t>2021</w:t>
      </w:r>
      <w:r w:rsidRPr="00697719">
        <w:rPr>
          <w:rFonts w:cs="Cordia New" w:hint="eastAsia"/>
          <w:i/>
          <w:iCs/>
          <w:sz w:val="21"/>
          <w:szCs w:val="21"/>
        </w:rPr>
        <w:t>年</w:t>
      </w:r>
      <w:r w:rsidRPr="00697719">
        <w:rPr>
          <w:rFonts w:cs="Cordia New" w:hint="eastAsia"/>
          <w:i/>
          <w:iCs/>
          <w:sz w:val="21"/>
          <w:szCs w:val="21"/>
        </w:rPr>
        <w:t>3</w:t>
      </w:r>
      <w:r w:rsidRPr="00697719">
        <w:rPr>
          <w:rFonts w:cs="Cordia New" w:hint="eastAsia"/>
          <w:i/>
          <w:iCs/>
          <w:sz w:val="21"/>
          <w:szCs w:val="21"/>
        </w:rPr>
        <w:t>月</w:t>
      </w:r>
      <w:r w:rsidRPr="00697719">
        <w:rPr>
          <w:rFonts w:cs="Cordia New" w:hint="eastAsia"/>
          <w:i/>
          <w:iCs/>
          <w:sz w:val="21"/>
          <w:szCs w:val="21"/>
        </w:rPr>
        <w:t>31</w:t>
      </w:r>
      <w:r w:rsidRPr="00697719">
        <w:rPr>
          <w:rFonts w:cs="Cordia New" w:hint="eastAsia"/>
          <w:i/>
          <w:iCs/>
          <w:sz w:val="21"/>
          <w:szCs w:val="21"/>
        </w:rPr>
        <w:t>日，仲量联行业务遍及全球</w:t>
      </w:r>
      <w:r w:rsidRPr="00697719">
        <w:rPr>
          <w:rFonts w:cs="Cordia New" w:hint="eastAsia"/>
          <w:i/>
          <w:iCs/>
          <w:sz w:val="21"/>
          <w:szCs w:val="21"/>
        </w:rPr>
        <w:t>80</w:t>
      </w:r>
      <w:r w:rsidRPr="00697719">
        <w:rPr>
          <w:rFonts w:cs="Cordia New" w:hint="eastAsia"/>
          <w:i/>
          <w:iCs/>
          <w:sz w:val="21"/>
          <w:szCs w:val="21"/>
        </w:rPr>
        <w:t>多个国家，员工总数超过</w:t>
      </w:r>
      <w:r w:rsidRPr="00697719">
        <w:rPr>
          <w:rFonts w:cs="Cordia New" w:hint="eastAsia"/>
          <w:i/>
          <w:iCs/>
          <w:sz w:val="21"/>
          <w:szCs w:val="21"/>
        </w:rPr>
        <w:t>91,000</w:t>
      </w:r>
      <w:r w:rsidRPr="00697719">
        <w:rPr>
          <w:rFonts w:cs="Cordia New" w:hint="eastAsia"/>
          <w:i/>
          <w:iCs/>
          <w:sz w:val="21"/>
          <w:szCs w:val="21"/>
        </w:rPr>
        <w:t>人，</w:t>
      </w:r>
      <w:r w:rsidRPr="00697719">
        <w:rPr>
          <w:rFonts w:cs="Cordia New" w:hint="eastAsia"/>
          <w:i/>
          <w:iCs/>
          <w:sz w:val="21"/>
          <w:szCs w:val="21"/>
        </w:rPr>
        <w:t>2020</w:t>
      </w:r>
      <w:r w:rsidRPr="00697719">
        <w:rPr>
          <w:rFonts w:cs="Cordia New" w:hint="eastAsia"/>
          <w:i/>
          <w:iCs/>
          <w:sz w:val="21"/>
          <w:szCs w:val="21"/>
        </w:rPr>
        <w:t>财政年度收入达</w:t>
      </w:r>
      <w:r w:rsidRPr="00697719">
        <w:rPr>
          <w:rFonts w:cs="Cordia New" w:hint="eastAsia"/>
          <w:i/>
          <w:iCs/>
          <w:sz w:val="21"/>
          <w:szCs w:val="21"/>
        </w:rPr>
        <w:t>166</w:t>
      </w:r>
      <w:r w:rsidRPr="00697719">
        <w:rPr>
          <w:rFonts w:cs="Cordia New" w:hint="eastAsia"/>
          <w:i/>
          <w:iCs/>
          <w:sz w:val="21"/>
          <w:szCs w:val="21"/>
        </w:rPr>
        <w:t>亿美元。</w:t>
      </w:r>
      <w:r w:rsidRPr="00697719">
        <w:rPr>
          <w:rFonts w:cs="Cordia New" w:hint="eastAsia"/>
          <w:i/>
          <w:iCs/>
          <w:sz w:val="21"/>
          <w:szCs w:val="21"/>
        </w:rPr>
        <w:t>JLL</w:t>
      </w:r>
      <w:r w:rsidRPr="00697719">
        <w:rPr>
          <w:rFonts w:cs="Cordia New" w:hint="eastAsia"/>
          <w:i/>
          <w:iCs/>
          <w:sz w:val="21"/>
          <w:szCs w:val="21"/>
        </w:rPr>
        <w:t>是仲量联行的品牌名称以及注册商标。更多信息请浏览</w:t>
      </w:r>
      <w:hyperlink r:id="rId15" w:history="1">
        <w:r w:rsidRPr="00697719">
          <w:rPr>
            <w:rStyle w:val="a7"/>
            <w:rFonts w:cs="Cordia New" w:hint="eastAsia"/>
            <w:i/>
            <w:iCs/>
            <w:color w:val="FF0000"/>
            <w:sz w:val="21"/>
            <w:szCs w:val="21"/>
          </w:rPr>
          <w:t>www.jll.com</w:t>
        </w:r>
      </w:hyperlink>
    </w:p>
    <w:p w14:paraId="4BB9E420" w14:textId="77777777" w:rsidR="001A07B6" w:rsidRDefault="001A07B6" w:rsidP="001A07B6">
      <w:pPr>
        <w:spacing w:after="160" w:line="288" w:lineRule="auto"/>
        <w:ind w:leftChars="-220" w:left="-528" w:rightChars="-220" w:right="-528"/>
        <w:rPr>
          <w:rFonts w:ascii="Arial" w:hAnsi="Arial" w:cs="Arial"/>
          <w:b/>
          <w:bCs/>
          <w:color w:val="000000"/>
          <w:sz w:val="20"/>
          <w:szCs w:val="20"/>
        </w:rPr>
      </w:pPr>
    </w:p>
    <w:p w14:paraId="2FD4A159" w14:textId="25AF28B8" w:rsidR="00DF6E30" w:rsidRPr="000B59F6" w:rsidRDefault="001A07B6" w:rsidP="001A07B6">
      <w:pPr>
        <w:spacing w:after="160" w:line="288" w:lineRule="auto"/>
        <w:ind w:leftChars="-220" w:left="-528" w:rightChars="-220" w:right="-528"/>
        <w:rPr>
          <w:rFonts w:cs="Cordia New"/>
          <w:b/>
          <w:bCs/>
          <w:sz w:val="22"/>
          <w:szCs w:val="22"/>
        </w:rPr>
      </w:pPr>
      <w:r w:rsidRPr="000B59F6">
        <w:rPr>
          <w:rFonts w:ascii="Arial" w:hAnsi="Arial" w:cs="Arial" w:hint="eastAsia"/>
          <w:b/>
          <w:bCs/>
          <w:color w:val="000000"/>
          <w:sz w:val="22"/>
          <w:szCs w:val="22"/>
        </w:rPr>
        <w:t>关注我们</w:t>
      </w:r>
      <w:r w:rsidR="00DF6E30" w:rsidRPr="000B59F6">
        <w:rPr>
          <w:rFonts w:ascii="Arial" w:hAnsi="Arial" w:cs="Arial"/>
          <w:b/>
          <w:bCs/>
          <w:color w:val="000000"/>
          <w:sz w:val="22"/>
          <w:szCs w:val="22"/>
        </w:rPr>
        <w:t xml:space="preserve">  </w:t>
      </w:r>
    </w:p>
    <w:tbl>
      <w:tblPr>
        <w:tblW w:w="2422" w:type="dxa"/>
        <w:tblCellSpacing w:w="0" w:type="dxa"/>
        <w:tblInd w:w="-495" w:type="dxa"/>
        <w:tblCellMar>
          <w:left w:w="0" w:type="dxa"/>
          <w:right w:w="0" w:type="dxa"/>
        </w:tblCellMar>
        <w:tblLook w:val="04A0" w:firstRow="1" w:lastRow="0" w:firstColumn="1" w:lastColumn="0" w:noHBand="0" w:noVBand="1"/>
      </w:tblPr>
      <w:tblGrid>
        <w:gridCol w:w="603"/>
        <w:gridCol w:w="13"/>
        <w:gridCol w:w="602"/>
        <w:gridCol w:w="602"/>
        <w:gridCol w:w="602"/>
      </w:tblGrid>
      <w:tr w:rsidR="001A07B6" w:rsidRPr="00546421" w14:paraId="3897D526" w14:textId="77777777" w:rsidTr="001A07B6">
        <w:trPr>
          <w:trHeight w:val="391"/>
          <w:tblCellSpacing w:w="0" w:type="dxa"/>
        </w:trPr>
        <w:tc>
          <w:tcPr>
            <w:tcW w:w="0" w:type="auto"/>
            <w:tcMar>
              <w:top w:w="0" w:type="dxa"/>
              <w:left w:w="0" w:type="dxa"/>
              <w:bottom w:w="105" w:type="dxa"/>
              <w:right w:w="0" w:type="dxa"/>
            </w:tcMar>
            <w:hideMark/>
          </w:tcPr>
          <w:p w14:paraId="0B3E9FB0" w14:textId="77777777" w:rsidR="001A07B6" w:rsidRPr="00546421" w:rsidRDefault="001A07B6" w:rsidP="00AD21D0">
            <w:pPr>
              <w:rPr>
                <w:rFonts w:ascii="Arial" w:hAnsi="Arial" w:cs="Arial"/>
              </w:rPr>
            </w:pPr>
            <w:r w:rsidRPr="00546421">
              <w:rPr>
                <w:rFonts w:ascii="Arial" w:hAnsi="Arial" w:cs="Arial"/>
                <w:noProof/>
                <w:color w:val="0000FF"/>
              </w:rPr>
              <w:drawing>
                <wp:inline distT="0" distB="0" distL="0" distR="0" wp14:anchorId="3C4EF081" wp14:editId="3B6D5842">
                  <wp:extent cx="189865" cy="189865"/>
                  <wp:effectExtent l="0" t="0" r="635" b="635"/>
                  <wp:docPr id="13" name="图片 13" descr="Description: Description: http://www.joneslanglasallesites.com/eDM/imgs/news-release/share-button-twitter-v1.pn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www.joneslanglasallesites.com/eDM/imgs/news-release/share-button-twitter-v1.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tcPr>
          <w:p w14:paraId="4C1A1381" w14:textId="77777777" w:rsidR="001A07B6" w:rsidRPr="00546421" w:rsidRDefault="001A07B6" w:rsidP="00AD21D0">
            <w:pPr>
              <w:rPr>
                <w:rFonts w:ascii="Arial" w:hAnsi="Arial" w:cs="Arial"/>
                <w:noProof/>
                <w:color w:val="0000FF"/>
              </w:rPr>
            </w:pPr>
          </w:p>
        </w:tc>
        <w:tc>
          <w:tcPr>
            <w:tcW w:w="0" w:type="auto"/>
            <w:tcMar>
              <w:top w:w="0" w:type="dxa"/>
              <w:left w:w="0" w:type="dxa"/>
              <w:bottom w:w="105" w:type="dxa"/>
              <w:right w:w="0" w:type="dxa"/>
            </w:tcMar>
            <w:hideMark/>
          </w:tcPr>
          <w:p w14:paraId="7C80D9EE" w14:textId="20432CCA" w:rsidR="001A07B6" w:rsidRPr="00546421" w:rsidRDefault="001A07B6" w:rsidP="00AD21D0">
            <w:pPr>
              <w:rPr>
                <w:rFonts w:ascii="Arial" w:hAnsi="Arial" w:cs="Arial"/>
              </w:rPr>
            </w:pPr>
            <w:r w:rsidRPr="00546421">
              <w:rPr>
                <w:rFonts w:ascii="Arial" w:hAnsi="Arial" w:cs="Arial"/>
                <w:noProof/>
                <w:color w:val="0000FF"/>
              </w:rPr>
              <w:drawing>
                <wp:inline distT="0" distB="0" distL="0" distR="0" wp14:anchorId="6CDFBC2F" wp14:editId="5E43399A">
                  <wp:extent cx="189865" cy="189865"/>
                  <wp:effectExtent l="0" t="0" r="635" b="635"/>
                  <wp:docPr id="12" name="图片 12" descr="Description: Description: http://www.joneslanglasallesites.com/eDM/imgs/news-release/share-button-linkedin-v1.pn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www.joneslanglasallesites.com/eDM/imgs/news-release/share-button-linkedin-v1.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tcMar>
              <w:top w:w="0" w:type="dxa"/>
              <w:left w:w="0" w:type="dxa"/>
              <w:bottom w:w="105" w:type="dxa"/>
              <w:right w:w="0" w:type="dxa"/>
            </w:tcMar>
            <w:hideMark/>
          </w:tcPr>
          <w:p w14:paraId="76358C19" w14:textId="77777777" w:rsidR="001A07B6" w:rsidRPr="00546421" w:rsidRDefault="001A07B6" w:rsidP="00AD21D0">
            <w:pPr>
              <w:rPr>
                <w:rFonts w:ascii="Arial" w:hAnsi="Arial" w:cs="Arial"/>
              </w:rPr>
            </w:pPr>
            <w:r w:rsidRPr="00546421">
              <w:rPr>
                <w:rFonts w:ascii="Arial" w:hAnsi="Arial" w:cs="Arial"/>
                <w:noProof/>
                <w:color w:val="0000FF"/>
              </w:rPr>
              <w:drawing>
                <wp:inline distT="0" distB="0" distL="0" distR="0" wp14:anchorId="5405C3C0" wp14:editId="7C3391C9">
                  <wp:extent cx="189865" cy="189865"/>
                  <wp:effectExtent l="0" t="0" r="635" b="635"/>
                  <wp:docPr id="11" name="图片 11" descr="Description: Description: http://www.joneslanglasallesites.com/eDM/imgs/news-release/share-button-googleplus-v1.png">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http://www.joneslanglasallesites.com/eDM/imgs/news-release/share-button-googleplus-v1.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tcMar>
              <w:top w:w="0" w:type="dxa"/>
              <w:left w:w="0" w:type="dxa"/>
              <w:bottom w:w="105" w:type="dxa"/>
              <w:right w:w="0" w:type="dxa"/>
            </w:tcMar>
            <w:hideMark/>
          </w:tcPr>
          <w:p w14:paraId="7F4C9908" w14:textId="77777777" w:rsidR="001A07B6" w:rsidRPr="00546421" w:rsidRDefault="001A07B6" w:rsidP="00AD21D0">
            <w:pPr>
              <w:rPr>
                <w:rFonts w:ascii="Arial" w:hAnsi="Arial" w:cs="Arial"/>
              </w:rPr>
            </w:pPr>
            <w:r w:rsidRPr="00546421">
              <w:rPr>
                <w:rFonts w:ascii="Arial" w:hAnsi="Arial" w:cs="Arial"/>
                <w:noProof/>
                <w:color w:val="0000FF"/>
              </w:rPr>
              <w:drawing>
                <wp:inline distT="0" distB="0" distL="0" distR="0" wp14:anchorId="616CC195" wp14:editId="244B4AD2">
                  <wp:extent cx="189865" cy="189865"/>
                  <wp:effectExtent l="0" t="0" r="635" b="635"/>
                  <wp:docPr id="10" name="图片 10" descr="Description: Description: http://www.joneslanglasallesites.com/eDM/imgs/news-release/share-button-cn-weibo-v1.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http://www.joneslanglasallesites.com/eDM/imgs/news-release/share-button-cn-weibo-v1.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1A07B6" w:rsidRPr="00546421" w14:paraId="13FF182B" w14:textId="77777777" w:rsidTr="001A07B6">
        <w:trPr>
          <w:trHeight w:val="391"/>
          <w:tblCellSpacing w:w="0" w:type="dxa"/>
        </w:trPr>
        <w:tc>
          <w:tcPr>
            <w:tcW w:w="0" w:type="auto"/>
            <w:hideMark/>
          </w:tcPr>
          <w:p w14:paraId="33D8D56B" w14:textId="77777777" w:rsidR="001A07B6" w:rsidRPr="00546421" w:rsidRDefault="001A07B6" w:rsidP="00AD21D0">
            <w:pPr>
              <w:rPr>
                <w:rFonts w:ascii="Arial" w:hAnsi="Arial" w:cs="Arial"/>
              </w:rPr>
            </w:pPr>
            <w:r w:rsidRPr="00546421">
              <w:rPr>
                <w:rFonts w:ascii="Arial" w:hAnsi="Arial" w:cs="Arial"/>
                <w:noProof/>
                <w:color w:val="0000FF"/>
              </w:rPr>
              <w:drawing>
                <wp:inline distT="0" distB="0" distL="0" distR="0" wp14:anchorId="77821E05" wp14:editId="55C6ADCF">
                  <wp:extent cx="189865" cy="189865"/>
                  <wp:effectExtent l="0" t="0" r="635" b="635"/>
                  <wp:docPr id="6" name="图片 6" descr="Description: Description: http://www.joneslanglasallesites.com/eDM/imgs/news-release/share-button-facebook-v1.png">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http://www.joneslanglasallesites.com/eDM/imgs/news-release/share-button-facebook-v1.pn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tcPr>
          <w:p w14:paraId="6A9F66E3" w14:textId="77777777" w:rsidR="001A07B6" w:rsidRPr="00546421" w:rsidRDefault="001A07B6" w:rsidP="00AD21D0">
            <w:pPr>
              <w:rPr>
                <w:rFonts w:ascii="Arial" w:hAnsi="Arial" w:cs="Arial"/>
                <w:noProof/>
                <w:color w:val="0000FF"/>
              </w:rPr>
            </w:pPr>
          </w:p>
        </w:tc>
        <w:tc>
          <w:tcPr>
            <w:tcW w:w="0" w:type="auto"/>
            <w:hideMark/>
          </w:tcPr>
          <w:p w14:paraId="20802FB5" w14:textId="1F6B18B4" w:rsidR="001A07B6" w:rsidRPr="00546421" w:rsidRDefault="001A07B6" w:rsidP="00AD21D0">
            <w:pPr>
              <w:rPr>
                <w:rFonts w:ascii="Arial" w:hAnsi="Arial" w:cs="Arial"/>
              </w:rPr>
            </w:pPr>
            <w:r w:rsidRPr="00546421">
              <w:rPr>
                <w:rFonts w:ascii="Arial" w:hAnsi="Arial" w:cs="Arial"/>
                <w:noProof/>
                <w:color w:val="0000FF"/>
              </w:rPr>
              <w:drawing>
                <wp:inline distT="0" distB="0" distL="0" distR="0" wp14:anchorId="4206D21D" wp14:editId="1AB77C4D">
                  <wp:extent cx="189865" cy="189865"/>
                  <wp:effectExtent l="0" t="0" r="635" b="635"/>
                  <wp:docPr id="5" name="图片 5" descr="Description: Description: http://www.joneslanglasallesites.com/eDM/imgs/news-release/share-button-bloggr-v1.png">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http://www.joneslanglasallesites.com/eDM/imgs/news-release/share-button-bloggr-v1.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hideMark/>
          </w:tcPr>
          <w:p w14:paraId="70B2F151" w14:textId="77777777" w:rsidR="001A07B6" w:rsidRPr="00546421" w:rsidRDefault="001A07B6" w:rsidP="00AD21D0">
            <w:pPr>
              <w:rPr>
                <w:rFonts w:ascii="Arial" w:hAnsi="Arial" w:cs="Arial"/>
              </w:rPr>
            </w:pPr>
            <w:r w:rsidRPr="00546421">
              <w:rPr>
                <w:rFonts w:ascii="Arial" w:hAnsi="Arial" w:cs="Arial"/>
                <w:noProof/>
                <w:color w:val="0000FF"/>
              </w:rPr>
              <w:drawing>
                <wp:inline distT="0" distB="0" distL="0" distR="0" wp14:anchorId="0C2860AE" wp14:editId="0411AA5D">
                  <wp:extent cx="189865" cy="189865"/>
                  <wp:effectExtent l="0" t="0" r="635" b="635"/>
                  <wp:docPr id="4" name="图片 4" descr="Description: Description: http://www.joneslanglasallesites.com/eDM/imgs/news-release/share-button-youtube-v1.png">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http://www.joneslanglasallesites.com/eDM/imgs/news-release/share-button-youtube-v1.p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hideMark/>
          </w:tcPr>
          <w:p w14:paraId="1BE0A3F8" w14:textId="77777777" w:rsidR="001A07B6" w:rsidRPr="00546421" w:rsidRDefault="001A07B6" w:rsidP="00AD21D0">
            <w:pPr>
              <w:rPr>
                <w:rFonts w:ascii="Arial" w:hAnsi="Arial" w:cs="Arial"/>
              </w:rPr>
            </w:pPr>
            <w:r w:rsidRPr="00546421">
              <w:rPr>
                <w:rFonts w:ascii="Arial" w:hAnsi="Arial" w:cs="Arial"/>
                <w:noProof/>
                <w:color w:val="0000FF"/>
              </w:rPr>
              <w:drawing>
                <wp:inline distT="0" distB="0" distL="0" distR="0" wp14:anchorId="34C15946" wp14:editId="788AA1B3">
                  <wp:extent cx="189865" cy="189865"/>
                  <wp:effectExtent l="0" t="0" r="635" b="635"/>
                  <wp:docPr id="3" name="图片 3" descr="Description: Description: http://www.joneslanglasallesites.com/eDM/imgs/news-release/share-button-cn-wechat-v1.png">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http://www.joneslanglasallesites.com/eDM/imgs/news-release/share-button-cn-wechat-v1.pn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bl>
    <w:p w14:paraId="28DC4E1A" w14:textId="77777777" w:rsidR="001A07B6" w:rsidRDefault="001A07B6" w:rsidP="001A07B6">
      <w:pPr>
        <w:spacing w:after="160" w:line="288" w:lineRule="auto"/>
        <w:ind w:rightChars="-220" w:right="-528"/>
        <w:rPr>
          <w:rFonts w:cs="Cordia New"/>
          <w:sz w:val="21"/>
          <w:szCs w:val="21"/>
        </w:rPr>
      </w:pPr>
    </w:p>
    <w:p w14:paraId="692282A4" w14:textId="77777777" w:rsidR="001A07B6" w:rsidRPr="001A07B6" w:rsidRDefault="001A07B6" w:rsidP="001A07B6">
      <w:pPr>
        <w:spacing w:line="288" w:lineRule="auto"/>
        <w:ind w:leftChars="-220" w:left="-528" w:rightChars="-220" w:right="-528"/>
        <w:rPr>
          <w:rFonts w:ascii="Arial" w:hAnsi="Arial" w:cs="Arial"/>
          <w:sz w:val="21"/>
          <w:szCs w:val="21"/>
        </w:rPr>
      </w:pPr>
      <w:r w:rsidRPr="001A07B6">
        <w:rPr>
          <w:rFonts w:ascii="Arial" w:hAnsi="Arial" w:cs="Arial"/>
          <w:sz w:val="21"/>
          <w:szCs w:val="21"/>
        </w:rPr>
        <w:t>联系人：曾丽</w:t>
      </w:r>
    </w:p>
    <w:p w14:paraId="6BFAB7AD" w14:textId="77777777" w:rsidR="001A07B6" w:rsidRPr="001A07B6" w:rsidRDefault="001A07B6" w:rsidP="001A07B6">
      <w:pPr>
        <w:spacing w:line="288" w:lineRule="auto"/>
        <w:ind w:leftChars="-220" w:left="-528" w:rightChars="-220" w:right="-528"/>
        <w:rPr>
          <w:rFonts w:ascii="Arial" w:hAnsi="Arial" w:cs="Arial"/>
          <w:sz w:val="21"/>
          <w:szCs w:val="21"/>
        </w:rPr>
      </w:pPr>
      <w:r w:rsidRPr="001A07B6">
        <w:rPr>
          <w:rFonts w:ascii="Arial" w:hAnsi="Arial" w:cs="Arial"/>
          <w:sz w:val="21"/>
          <w:szCs w:val="21"/>
        </w:rPr>
        <w:t>电话：</w:t>
      </w:r>
      <w:r w:rsidRPr="001A07B6">
        <w:rPr>
          <w:rFonts w:ascii="Arial" w:hAnsi="Arial" w:cs="Arial"/>
          <w:sz w:val="21"/>
          <w:szCs w:val="21"/>
        </w:rPr>
        <w:t>+86 20 2338 8088</w:t>
      </w:r>
    </w:p>
    <w:p w14:paraId="0C65497C" w14:textId="77777777" w:rsidR="001A07B6" w:rsidRPr="001A07B6" w:rsidRDefault="001A07B6" w:rsidP="001A07B6">
      <w:pPr>
        <w:spacing w:line="288" w:lineRule="auto"/>
        <w:ind w:leftChars="-220" w:left="-528" w:rightChars="-220" w:right="-528"/>
        <w:rPr>
          <w:rFonts w:ascii="Arial" w:hAnsi="Arial" w:cs="Arial"/>
          <w:sz w:val="21"/>
          <w:szCs w:val="21"/>
        </w:rPr>
      </w:pPr>
      <w:r w:rsidRPr="001A07B6">
        <w:rPr>
          <w:rFonts w:ascii="Arial" w:hAnsi="Arial" w:cs="Arial"/>
          <w:sz w:val="21"/>
          <w:szCs w:val="21"/>
        </w:rPr>
        <w:t>电子邮件：</w:t>
      </w:r>
      <w:r w:rsidRPr="001A07B6">
        <w:rPr>
          <w:rFonts w:ascii="Arial" w:hAnsi="Arial" w:cs="Arial"/>
          <w:sz w:val="21"/>
          <w:szCs w:val="21"/>
        </w:rPr>
        <w:t>silvia.zeng@ap.jll.com</w:t>
      </w:r>
    </w:p>
    <w:p w14:paraId="24C0C13D" w14:textId="77777777" w:rsidR="001A07B6" w:rsidRPr="001A07B6" w:rsidRDefault="001A07B6" w:rsidP="001A07B6">
      <w:pPr>
        <w:spacing w:line="288" w:lineRule="auto"/>
        <w:ind w:leftChars="-220" w:left="-528" w:rightChars="-220" w:right="-528"/>
        <w:rPr>
          <w:rFonts w:ascii="Arial" w:hAnsi="Arial" w:cs="Arial"/>
          <w:sz w:val="21"/>
          <w:szCs w:val="21"/>
        </w:rPr>
      </w:pPr>
    </w:p>
    <w:p w14:paraId="11C1F490" w14:textId="36BB1A17" w:rsidR="001A07B6" w:rsidRPr="001A07B6" w:rsidRDefault="001A07B6" w:rsidP="001A07B6">
      <w:pPr>
        <w:spacing w:line="288" w:lineRule="auto"/>
        <w:ind w:leftChars="-220" w:left="-528" w:rightChars="-220" w:right="-528"/>
        <w:rPr>
          <w:rFonts w:ascii="Arial" w:hAnsi="Arial" w:cs="Arial"/>
          <w:sz w:val="21"/>
          <w:szCs w:val="21"/>
        </w:rPr>
      </w:pPr>
      <w:r w:rsidRPr="001A07B6">
        <w:rPr>
          <w:rFonts w:ascii="Arial" w:hAnsi="Arial" w:cs="Arial"/>
          <w:sz w:val="21"/>
          <w:szCs w:val="21"/>
        </w:rPr>
        <w:t>联系人：</w:t>
      </w:r>
      <w:r w:rsidR="00F0004A">
        <w:rPr>
          <w:rFonts w:ascii="Arial" w:hAnsi="Arial" w:cs="Arial" w:hint="eastAsia"/>
          <w:sz w:val="21"/>
          <w:szCs w:val="21"/>
        </w:rPr>
        <w:t>黄健玲</w:t>
      </w:r>
    </w:p>
    <w:p w14:paraId="58D00304" w14:textId="7A78A788" w:rsidR="001A07B6" w:rsidRPr="001A07B6" w:rsidRDefault="001A07B6" w:rsidP="001A07B6">
      <w:pPr>
        <w:spacing w:line="288" w:lineRule="auto"/>
        <w:ind w:leftChars="-220" w:left="-528" w:rightChars="-220" w:right="-528"/>
        <w:rPr>
          <w:rFonts w:ascii="Arial" w:hAnsi="Arial" w:cs="Arial"/>
          <w:sz w:val="21"/>
          <w:szCs w:val="21"/>
        </w:rPr>
      </w:pPr>
      <w:r w:rsidRPr="001A07B6">
        <w:rPr>
          <w:rFonts w:ascii="Arial" w:hAnsi="Arial" w:cs="Arial"/>
          <w:sz w:val="21"/>
          <w:szCs w:val="21"/>
        </w:rPr>
        <w:t>电话：</w:t>
      </w:r>
      <w:r w:rsidRPr="001A07B6">
        <w:rPr>
          <w:rFonts w:ascii="Arial" w:hAnsi="Arial" w:cs="Arial"/>
          <w:sz w:val="21"/>
          <w:szCs w:val="21"/>
        </w:rPr>
        <w:t xml:space="preserve">+86 </w:t>
      </w:r>
      <w:r w:rsidR="00C8578A">
        <w:rPr>
          <w:rFonts w:ascii="Arial" w:hAnsi="Arial" w:cs="Arial" w:hint="eastAsia"/>
          <w:sz w:val="21"/>
          <w:szCs w:val="21"/>
        </w:rPr>
        <w:t>755</w:t>
      </w:r>
      <w:r w:rsidRPr="001A07B6">
        <w:rPr>
          <w:rFonts w:ascii="Arial" w:hAnsi="Arial" w:cs="Arial"/>
          <w:sz w:val="21"/>
          <w:szCs w:val="21"/>
        </w:rPr>
        <w:t xml:space="preserve"> </w:t>
      </w:r>
      <w:r w:rsidR="00C8578A">
        <w:rPr>
          <w:rFonts w:ascii="Arial" w:hAnsi="Arial" w:cs="Arial" w:hint="eastAsia"/>
          <w:sz w:val="21"/>
          <w:szCs w:val="21"/>
        </w:rPr>
        <w:t>8826</w:t>
      </w:r>
      <w:r w:rsidRPr="001A07B6">
        <w:rPr>
          <w:rFonts w:ascii="Arial" w:hAnsi="Arial" w:cs="Arial"/>
          <w:sz w:val="21"/>
          <w:szCs w:val="21"/>
        </w:rPr>
        <w:t xml:space="preserve"> </w:t>
      </w:r>
      <w:r w:rsidR="00C8578A">
        <w:rPr>
          <w:rFonts w:ascii="Arial" w:hAnsi="Arial" w:cs="Arial" w:hint="eastAsia"/>
          <w:sz w:val="21"/>
          <w:szCs w:val="21"/>
        </w:rPr>
        <w:t>660</w:t>
      </w:r>
      <w:r w:rsidRPr="001A07B6">
        <w:rPr>
          <w:rFonts w:ascii="Arial" w:hAnsi="Arial" w:cs="Arial"/>
          <w:sz w:val="21"/>
          <w:szCs w:val="21"/>
        </w:rPr>
        <w:t>8</w:t>
      </w:r>
    </w:p>
    <w:p w14:paraId="69B63543" w14:textId="088AD4EC" w:rsidR="00DF6E30" w:rsidRPr="001A07B6" w:rsidRDefault="001A07B6" w:rsidP="001A07B6">
      <w:pPr>
        <w:spacing w:line="288" w:lineRule="auto"/>
        <w:ind w:leftChars="-220" w:left="-528" w:rightChars="-220" w:right="-528"/>
        <w:rPr>
          <w:rFonts w:ascii="Arial" w:hAnsi="Arial" w:cs="Arial"/>
          <w:sz w:val="21"/>
          <w:szCs w:val="21"/>
        </w:rPr>
      </w:pPr>
      <w:r w:rsidRPr="001A07B6">
        <w:rPr>
          <w:rFonts w:ascii="Arial" w:hAnsi="Arial" w:cs="Arial"/>
          <w:sz w:val="21"/>
          <w:szCs w:val="21"/>
        </w:rPr>
        <w:t>电子邮件：</w:t>
      </w:r>
      <w:r w:rsidR="00F0004A">
        <w:rPr>
          <w:rFonts w:ascii="Arial" w:hAnsi="Arial" w:cs="Arial"/>
          <w:sz w:val="21"/>
          <w:szCs w:val="21"/>
        </w:rPr>
        <w:t>nikita</w:t>
      </w:r>
      <w:r w:rsidRPr="001A07B6">
        <w:rPr>
          <w:rFonts w:ascii="Arial" w:hAnsi="Arial" w:cs="Arial"/>
          <w:sz w:val="21"/>
          <w:szCs w:val="21"/>
        </w:rPr>
        <w:t>.</w:t>
      </w:r>
      <w:r w:rsidR="00F0004A">
        <w:rPr>
          <w:rFonts w:ascii="Arial" w:hAnsi="Arial" w:cs="Arial"/>
          <w:sz w:val="21"/>
          <w:szCs w:val="21"/>
        </w:rPr>
        <w:t>huang</w:t>
      </w:r>
      <w:r w:rsidRPr="001A07B6">
        <w:rPr>
          <w:rFonts w:ascii="Arial" w:hAnsi="Arial" w:cs="Arial"/>
          <w:sz w:val="21"/>
          <w:szCs w:val="21"/>
        </w:rPr>
        <w:t>@ap.jll.com</w:t>
      </w:r>
    </w:p>
    <w:sectPr w:rsidR="00DF6E30" w:rsidRPr="001A07B6">
      <w:headerReference w:type="default" r:id="rId40"/>
      <w:headerReference w:type="first" r:id="rId41"/>
      <w:pgSz w:w="11900" w:h="16840"/>
      <w:pgMar w:top="1440" w:right="1440" w:bottom="1440" w:left="1440" w:header="330" w:footer="708"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E33B13" w14:textId="77777777" w:rsidR="002D70E5" w:rsidRDefault="002D70E5">
      <w:r>
        <w:separator/>
      </w:r>
    </w:p>
  </w:endnote>
  <w:endnote w:type="continuationSeparator" w:id="0">
    <w:p w14:paraId="5A553B47" w14:textId="77777777" w:rsidR="002D70E5" w:rsidRDefault="002D7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ource Sans Pro Light">
    <w:panose1 w:val="020B0403030403020204"/>
    <w:charset w:val="00"/>
    <w:family w:val="swiss"/>
    <w:notTrueType/>
    <w:pitch w:val="variable"/>
    <w:sig w:usb0="600002F7" w:usb1="02000001"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Semibold">
    <w:panose1 w:val="020B0603030403020204"/>
    <w:charset w:val="00"/>
    <w:family w:val="swiss"/>
    <w:notTrueType/>
    <w:pitch w:val="variable"/>
    <w:sig w:usb0="600002F7" w:usb1="02000001" w:usb2="00000000" w:usb3="00000000" w:csb0="0000019F" w:csb1="00000000"/>
  </w:font>
  <w:font w:name="Source Sans Pro">
    <w:panose1 w:val="020B0503030403020204"/>
    <w:charset w:val="00"/>
    <w:family w:val="swiss"/>
    <w:notTrueType/>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3F06F" w14:textId="77777777" w:rsidR="002D70E5" w:rsidRDefault="002D70E5">
      <w:r>
        <w:separator/>
      </w:r>
    </w:p>
  </w:footnote>
  <w:footnote w:type="continuationSeparator" w:id="0">
    <w:p w14:paraId="4D510D08" w14:textId="77777777" w:rsidR="002D70E5" w:rsidRDefault="002D7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EF732" w14:textId="77777777" w:rsidR="00A45BA7" w:rsidRDefault="00DC5839">
    <w:pPr>
      <w:pStyle w:val="a3"/>
      <w:tabs>
        <w:tab w:val="clear" w:pos="9026"/>
      </w:tabs>
      <w:ind w:left="-851" w:right="-1045"/>
    </w:pPr>
    <w:r>
      <w:rPr>
        <w:noProof/>
        <w:lang w:val="en-SG" w:bidi="th-TH"/>
      </w:rPr>
      <w:drawing>
        <wp:inline distT="0" distB="0" distL="0" distR="0" wp14:anchorId="60256B03" wp14:editId="16873CA4">
          <wp:extent cx="7200900" cy="914400"/>
          <wp:effectExtent l="0" t="0" r="0" b="0"/>
          <wp:docPr id="4097" name="Picture 9" descr="/Users/karakeough/Box Sync/2016/Brand/New Materials/Press Release/PressRelease-Header-02-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1" cstate="print"/>
                  <a:srcRect b="33150"/>
                  <a:stretch/>
                </pic:blipFill>
                <pic:spPr>
                  <a:xfrm>
                    <a:off x="0" y="0"/>
                    <a:ext cx="7200900" cy="914400"/>
                  </a:xfrm>
                  <a:prstGeom prst="rect">
                    <a:avLst/>
                  </a:prstGeom>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B0BA3" w14:textId="77777777" w:rsidR="00A45BA7" w:rsidRDefault="00DC5839">
    <w:pPr>
      <w:pStyle w:val="a3"/>
      <w:ind w:left="-851"/>
    </w:pPr>
    <w:r>
      <w:rPr>
        <w:noProof/>
        <w:lang w:val="en-SG" w:bidi="th-TH"/>
      </w:rPr>
      <mc:AlternateContent>
        <mc:Choice Requires="wps">
          <w:drawing>
            <wp:anchor distT="0" distB="0" distL="0" distR="0" simplePos="0" relativeHeight="2" behindDoc="0" locked="0" layoutInCell="1" allowOverlap="1" wp14:anchorId="5D2E1E4B" wp14:editId="4D4CFE5C">
              <wp:simplePos x="0" y="0"/>
              <wp:positionH relativeFrom="column">
                <wp:posOffset>-443865</wp:posOffset>
              </wp:positionH>
              <wp:positionV relativeFrom="paragraph">
                <wp:posOffset>544830</wp:posOffset>
              </wp:positionV>
              <wp:extent cx="3124835" cy="632459"/>
              <wp:effectExtent l="0" t="0" r="0" b="0"/>
              <wp:wrapNone/>
              <wp:docPr id="40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835" cy="632459"/>
                      </a:xfrm>
                      <a:prstGeom prst="rect">
                        <a:avLst/>
                      </a:prstGeom>
                      <a:ln>
                        <a:noFill/>
                      </a:ln>
                    </wps:spPr>
                    <wps:txbx>
                      <w:txbxContent>
                        <w:p w14:paraId="579AB07A" w14:textId="77777777" w:rsidR="00A45BA7" w:rsidRDefault="00DC5839">
                          <w:pPr>
                            <w:rPr>
                              <w:rFonts w:ascii="Source Sans Pro" w:hAnsi="Source Sans Pro"/>
                              <w:b/>
                              <w:sz w:val="60"/>
                              <w:szCs w:val="60"/>
                            </w:rPr>
                          </w:pPr>
                          <w:r>
                            <w:rPr>
                              <w:rFonts w:ascii="Source Sans Pro" w:hAnsi="Source Sans Pro"/>
                              <w:b/>
                              <w:noProof/>
                              <w:sz w:val="60"/>
                              <w:szCs w:val="60"/>
                              <w:lang w:val="en-SG" w:bidi="th-TH"/>
                            </w:rPr>
                            <w:drawing>
                              <wp:inline distT="0" distB="0" distL="0" distR="0" wp14:anchorId="650ECBE9" wp14:editId="03B1861C">
                                <wp:extent cx="1417447" cy="553690"/>
                                <wp:effectExtent l="0" t="0" r="0" b="0"/>
                                <wp:docPr id="307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srcRect/>
                                        <a:stretch/>
                                      </pic:blipFill>
                                      <pic:spPr>
                                        <a:xfrm>
                                          <a:off x="0" y="0"/>
                                          <a:ext cx="1417447" cy="553690"/>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E1E4B" id="Text Box 14" o:spid="_x0000_s1026" style="position:absolute;left:0;text-align:left;margin-left:-34.95pt;margin-top:42.9pt;width:246.05pt;height:49.8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" filled="f" stroked="f">
              <v:textbox>
                <w:txbxContent>
                  <w:p w14:paraId="579AB07A" w14:textId="77777777" w:rsidR="00A45BA7" w:rsidRDefault="00DC5839">
                    <w:pPr>
                      <w:rPr>
                        <w:rFonts w:ascii="Source Sans Pro" w:hAnsi="Source Sans Pro"/>
                        <w:b/>
                        <w:sz w:val="60"/>
                        <w:szCs w:val="60"/>
                      </w:rPr>
                    </w:pPr>
                    <w:r>
                      <w:rPr>
                        <w:rFonts w:ascii="Source Sans Pro" w:hAnsi="Source Sans Pro"/>
                        <w:b/>
                        <w:noProof/>
                        <w:sz w:val="60"/>
                        <w:szCs w:val="60"/>
                        <w:lang w:val="en-SG" w:bidi="th-TH"/>
                      </w:rPr>
                      <w:drawing>
                        <wp:inline distT="0" distB="0" distL="0" distR="0" wp14:anchorId="650ECBE9" wp14:editId="03B1861C">
                          <wp:extent cx="1417447" cy="553690"/>
                          <wp:effectExtent l="0" t="0" r="0" b="0"/>
                          <wp:docPr id="307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cstate="print"/>
                                  <a:srcRect/>
                                  <a:stretch/>
                                </pic:blipFill>
                                <pic:spPr>
                                  <a:xfrm>
                                    <a:off x="0" y="0"/>
                                    <a:ext cx="1417447" cy="553690"/>
                                  </a:xfrm>
                                  <a:prstGeom prst="rect">
                                    <a:avLst/>
                                  </a:prstGeom>
                                  <a:ln>
                                    <a:noFill/>
                                  </a:ln>
                                </pic:spPr>
                              </pic:pic>
                            </a:graphicData>
                          </a:graphic>
                        </wp:inline>
                      </w:drawing>
                    </w:r>
                  </w:p>
                </w:txbxContent>
              </v:textbox>
            </v:rect>
          </w:pict>
        </mc:Fallback>
      </mc:AlternateContent>
    </w:r>
    <w:r>
      <w:rPr>
        <w:noProof/>
        <w:lang w:val="en-SG" w:bidi="th-TH"/>
      </w:rPr>
      <w:drawing>
        <wp:inline distT="0" distB="0" distL="0" distR="0" wp14:anchorId="1DC6E478" wp14:editId="72378949">
          <wp:extent cx="6832600" cy="1143000"/>
          <wp:effectExtent l="0" t="0" r="0" b="0"/>
          <wp:docPr id="4099" name="Picture 13" descr="/Users/karakeough/Box Sync/2016/Brand/New Materials/Press Release/PR-Header-FINAL-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3"/>
                  <pic:cNvPicPr/>
                </pic:nvPicPr>
                <pic:blipFill>
                  <a:blip r:embed="rId3" cstate="print"/>
                  <a:srcRect/>
                  <a:stretch/>
                </pic:blipFill>
                <pic:spPr>
                  <a:xfrm>
                    <a:off x="0" y="0"/>
                    <a:ext cx="6832600" cy="1143000"/>
                  </a:xfrm>
                  <a:prstGeom prst="rect">
                    <a:avLst/>
                  </a:prstGeom>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32F8A838"/>
    <w:lvl w:ilvl="0" w:tplc="414A35B8">
      <w:start w:val="1"/>
      <w:numFmt w:val="bullet"/>
      <w:lvlText w:val="-"/>
      <w:lvlJc w:val="left"/>
      <w:pPr>
        <w:ind w:left="420" w:hanging="360"/>
      </w:pPr>
      <w:rPr>
        <w:rFonts w:ascii="Source Sans Pro Light" w:eastAsia="等线" w:hAnsi="Source Sans Pro Light"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00000002"/>
    <w:multiLevelType w:val="hybridMultilevel"/>
    <w:tmpl w:val="224E6456"/>
    <w:lvl w:ilvl="0" w:tplc="2056DE34">
      <w:start w:val="1"/>
      <w:numFmt w:val="bullet"/>
      <w:lvlText w:val="-"/>
      <w:lvlJc w:val="left"/>
      <w:pPr>
        <w:ind w:left="780" w:hanging="360"/>
      </w:pPr>
      <w:rPr>
        <w:rFonts w:ascii="Source Sans Pro Light" w:eastAsia="等线" w:hAnsi="Source Sans Pro Light"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73C0647"/>
    <w:multiLevelType w:val="hybridMultilevel"/>
    <w:tmpl w:val="1A187784"/>
    <w:lvl w:ilvl="0" w:tplc="48090001">
      <w:start w:val="1"/>
      <w:numFmt w:val="bullet"/>
      <w:lvlText w:val=""/>
      <w:lvlJc w:val="left"/>
      <w:pPr>
        <w:ind w:left="192" w:hanging="360"/>
      </w:pPr>
      <w:rPr>
        <w:rFonts w:ascii="Symbol" w:hAnsi="Symbol" w:hint="default"/>
      </w:rPr>
    </w:lvl>
    <w:lvl w:ilvl="1" w:tplc="48090003" w:tentative="1">
      <w:start w:val="1"/>
      <w:numFmt w:val="bullet"/>
      <w:lvlText w:val="o"/>
      <w:lvlJc w:val="left"/>
      <w:pPr>
        <w:ind w:left="912" w:hanging="360"/>
      </w:pPr>
      <w:rPr>
        <w:rFonts w:ascii="Courier New" w:hAnsi="Courier New" w:cs="Courier New" w:hint="default"/>
      </w:rPr>
    </w:lvl>
    <w:lvl w:ilvl="2" w:tplc="48090005" w:tentative="1">
      <w:start w:val="1"/>
      <w:numFmt w:val="bullet"/>
      <w:lvlText w:val=""/>
      <w:lvlJc w:val="left"/>
      <w:pPr>
        <w:ind w:left="1632" w:hanging="360"/>
      </w:pPr>
      <w:rPr>
        <w:rFonts w:ascii="Wingdings" w:hAnsi="Wingdings" w:hint="default"/>
      </w:rPr>
    </w:lvl>
    <w:lvl w:ilvl="3" w:tplc="48090001" w:tentative="1">
      <w:start w:val="1"/>
      <w:numFmt w:val="bullet"/>
      <w:lvlText w:val=""/>
      <w:lvlJc w:val="left"/>
      <w:pPr>
        <w:ind w:left="2352" w:hanging="360"/>
      </w:pPr>
      <w:rPr>
        <w:rFonts w:ascii="Symbol" w:hAnsi="Symbol" w:hint="default"/>
      </w:rPr>
    </w:lvl>
    <w:lvl w:ilvl="4" w:tplc="48090003" w:tentative="1">
      <w:start w:val="1"/>
      <w:numFmt w:val="bullet"/>
      <w:lvlText w:val="o"/>
      <w:lvlJc w:val="left"/>
      <w:pPr>
        <w:ind w:left="3072" w:hanging="360"/>
      </w:pPr>
      <w:rPr>
        <w:rFonts w:ascii="Courier New" w:hAnsi="Courier New" w:cs="Courier New" w:hint="default"/>
      </w:rPr>
    </w:lvl>
    <w:lvl w:ilvl="5" w:tplc="48090005" w:tentative="1">
      <w:start w:val="1"/>
      <w:numFmt w:val="bullet"/>
      <w:lvlText w:val=""/>
      <w:lvlJc w:val="left"/>
      <w:pPr>
        <w:ind w:left="3792" w:hanging="360"/>
      </w:pPr>
      <w:rPr>
        <w:rFonts w:ascii="Wingdings" w:hAnsi="Wingdings" w:hint="default"/>
      </w:rPr>
    </w:lvl>
    <w:lvl w:ilvl="6" w:tplc="48090001" w:tentative="1">
      <w:start w:val="1"/>
      <w:numFmt w:val="bullet"/>
      <w:lvlText w:val=""/>
      <w:lvlJc w:val="left"/>
      <w:pPr>
        <w:ind w:left="4512" w:hanging="360"/>
      </w:pPr>
      <w:rPr>
        <w:rFonts w:ascii="Symbol" w:hAnsi="Symbol" w:hint="default"/>
      </w:rPr>
    </w:lvl>
    <w:lvl w:ilvl="7" w:tplc="48090003" w:tentative="1">
      <w:start w:val="1"/>
      <w:numFmt w:val="bullet"/>
      <w:lvlText w:val="o"/>
      <w:lvlJc w:val="left"/>
      <w:pPr>
        <w:ind w:left="5232" w:hanging="360"/>
      </w:pPr>
      <w:rPr>
        <w:rFonts w:ascii="Courier New" w:hAnsi="Courier New" w:cs="Courier New" w:hint="default"/>
      </w:rPr>
    </w:lvl>
    <w:lvl w:ilvl="8" w:tplc="48090005" w:tentative="1">
      <w:start w:val="1"/>
      <w:numFmt w:val="bullet"/>
      <w:lvlText w:val=""/>
      <w:lvlJc w:val="left"/>
      <w:pPr>
        <w:ind w:left="5952" w:hanging="360"/>
      </w:pPr>
      <w:rPr>
        <w:rFonts w:ascii="Wingdings" w:hAnsi="Wingdings" w:hint="default"/>
      </w:rPr>
    </w:lvl>
  </w:abstractNum>
  <w:abstractNum w:abstractNumId="3" w15:restartNumberingAfterBreak="0">
    <w:nsid w:val="1FAC3591"/>
    <w:multiLevelType w:val="hybridMultilevel"/>
    <w:tmpl w:val="58A2C5A4"/>
    <w:lvl w:ilvl="0" w:tplc="48090001">
      <w:start w:val="1"/>
      <w:numFmt w:val="bullet"/>
      <w:lvlText w:val=""/>
      <w:lvlJc w:val="left"/>
      <w:pPr>
        <w:ind w:left="192" w:hanging="360"/>
      </w:pPr>
      <w:rPr>
        <w:rFonts w:ascii="Symbol" w:hAnsi="Symbol" w:hint="default"/>
      </w:rPr>
    </w:lvl>
    <w:lvl w:ilvl="1" w:tplc="48090003" w:tentative="1">
      <w:start w:val="1"/>
      <w:numFmt w:val="bullet"/>
      <w:lvlText w:val="o"/>
      <w:lvlJc w:val="left"/>
      <w:pPr>
        <w:ind w:left="912" w:hanging="360"/>
      </w:pPr>
      <w:rPr>
        <w:rFonts w:ascii="Courier New" w:hAnsi="Courier New" w:cs="Courier New" w:hint="default"/>
      </w:rPr>
    </w:lvl>
    <w:lvl w:ilvl="2" w:tplc="48090005" w:tentative="1">
      <w:start w:val="1"/>
      <w:numFmt w:val="bullet"/>
      <w:lvlText w:val=""/>
      <w:lvlJc w:val="left"/>
      <w:pPr>
        <w:ind w:left="1632" w:hanging="360"/>
      </w:pPr>
      <w:rPr>
        <w:rFonts w:ascii="Wingdings" w:hAnsi="Wingdings" w:hint="default"/>
      </w:rPr>
    </w:lvl>
    <w:lvl w:ilvl="3" w:tplc="48090001" w:tentative="1">
      <w:start w:val="1"/>
      <w:numFmt w:val="bullet"/>
      <w:lvlText w:val=""/>
      <w:lvlJc w:val="left"/>
      <w:pPr>
        <w:ind w:left="2352" w:hanging="360"/>
      </w:pPr>
      <w:rPr>
        <w:rFonts w:ascii="Symbol" w:hAnsi="Symbol" w:hint="default"/>
      </w:rPr>
    </w:lvl>
    <w:lvl w:ilvl="4" w:tplc="48090003" w:tentative="1">
      <w:start w:val="1"/>
      <w:numFmt w:val="bullet"/>
      <w:lvlText w:val="o"/>
      <w:lvlJc w:val="left"/>
      <w:pPr>
        <w:ind w:left="3072" w:hanging="360"/>
      </w:pPr>
      <w:rPr>
        <w:rFonts w:ascii="Courier New" w:hAnsi="Courier New" w:cs="Courier New" w:hint="default"/>
      </w:rPr>
    </w:lvl>
    <w:lvl w:ilvl="5" w:tplc="48090005" w:tentative="1">
      <w:start w:val="1"/>
      <w:numFmt w:val="bullet"/>
      <w:lvlText w:val=""/>
      <w:lvlJc w:val="left"/>
      <w:pPr>
        <w:ind w:left="3792" w:hanging="360"/>
      </w:pPr>
      <w:rPr>
        <w:rFonts w:ascii="Wingdings" w:hAnsi="Wingdings" w:hint="default"/>
      </w:rPr>
    </w:lvl>
    <w:lvl w:ilvl="6" w:tplc="48090001" w:tentative="1">
      <w:start w:val="1"/>
      <w:numFmt w:val="bullet"/>
      <w:lvlText w:val=""/>
      <w:lvlJc w:val="left"/>
      <w:pPr>
        <w:ind w:left="4512" w:hanging="360"/>
      </w:pPr>
      <w:rPr>
        <w:rFonts w:ascii="Symbol" w:hAnsi="Symbol" w:hint="default"/>
      </w:rPr>
    </w:lvl>
    <w:lvl w:ilvl="7" w:tplc="48090003" w:tentative="1">
      <w:start w:val="1"/>
      <w:numFmt w:val="bullet"/>
      <w:lvlText w:val="o"/>
      <w:lvlJc w:val="left"/>
      <w:pPr>
        <w:ind w:left="5232" w:hanging="360"/>
      </w:pPr>
      <w:rPr>
        <w:rFonts w:ascii="Courier New" w:hAnsi="Courier New" w:cs="Courier New" w:hint="default"/>
      </w:rPr>
    </w:lvl>
    <w:lvl w:ilvl="8" w:tplc="48090005" w:tentative="1">
      <w:start w:val="1"/>
      <w:numFmt w:val="bullet"/>
      <w:lvlText w:val=""/>
      <w:lvlJc w:val="left"/>
      <w:pPr>
        <w:ind w:left="5952" w:hanging="360"/>
      </w:pPr>
      <w:rPr>
        <w:rFonts w:ascii="Wingdings" w:hAnsi="Wingdings" w:hint="default"/>
      </w:rPr>
    </w:lvl>
  </w:abstractNum>
  <w:abstractNum w:abstractNumId="4" w15:restartNumberingAfterBreak="0">
    <w:nsid w:val="356C24FF"/>
    <w:multiLevelType w:val="hybridMultilevel"/>
    <w:tmpl w:val="053C2168"/>
    <w:lvl w:ilvl="0" w:tplc="A2EA7CBE">
      <w:start w:val="1"/>
      <w:numFmt w:val="bullet"/>
      <w:lvlText w:val="-"/>
      <w:lvlJc w:val="left"/>
      <w:pPr>
        <w:ind w:left="-207" w:hanging="360"/>
      </w:pPr>
      <w:rPr>
        <w:rFonts w:ascii="Source Sans Pro Light" w:eastAsia="等线" w:hAnsi="Source Sans Pro Light" w:cs="Times New Roman"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5" w15:restartNumberingAfterBreak="0">
    <w:nsid w:val="367E4FE1"/>
    <w:multiLevelType w:val="hybridMultilevel"/>
    <w:tmpl w:val="D5581004"/>
    <w:lvl w:ilvl="0" w:tplc="C4E88CB8">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15:restartNumberingAfterBreak="0">
    <w:nsid w:val="501C051F"/>
    <w:multiLevelType w:val="hybridMultilevel"/>
    <w:tmpl w:val="576E9888"/>
    <w:lvl w:ilvl="0" w:tplc="48090001">
      <w:start w:val="1"/>
      <w:numFmt w:val="bullet"/>
      <w:lvlText w:val=""/>
      <w:lvlJc w:val="left"/>
      <w:pPr>
        <w:ind w:left="360" w:hanging="360"/>
      </w:pPr>
      <w:rPr>
        <w:rFonts w:ascii="Symbol" w:hAnsi="Symbol"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num w:numId="1">
    <w:abstractNumId w:val="4"/>
  </w:num>
  <w:num w:numId="2">
    <w:abstractNumId w:val="0"/>
  </w:num>
  <w:num w:numId="3">
    <w:abstractNumId w:val="1"/>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bordersDoNotSurroundHeader/>
  <w:bordersDoNotSurroundFooter/>
  <w:attachedTemplate r:id="rId1"/>
  <w:defaultTabStop w:val="720"/>
  <w:drawingGridHorizontalSpacing w:val="120"/>
  <w:drawingGridVerticalSpacing w:val="2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BA7"/>
    <w:rsid w:val="0000035B"/>
    <w:rsid w:val="00001218"/>
    <w:rsid w:val="000112F9"/>
    <w:rsid w:val="00011DCA"/>
    <w:rsid w:val="0001370A"/>
    <w:rsid w:val="00013D70"/>
    <w:rsid w:val="000155CF"/>
    <w:rsid w:val="00021213"/>
    <w:rsid w:val="00040A73"/>
    <w:rsid w:val="00062D5C"/>
    <w:rsid w:val="00074541"/>
    <w:rsid w:val="000769D3"/>
    <w:rsid w:val="0008290D"/>
    <w:rsid w:val="00085ABE"/>
    <w:rsid w:val="00091CA2"/>
    <w:rsid w:val="000972C1"/>
    <w:rsid w:val="000B085B"/>
    <w:rsid w:val="000B59F6"/>
    <w:rsid w:val="000B65ED"/>
    <w:rsid w:val="000E105D"/>
    <w:rsid w:val="000F0CD8"/>
    <w:rsid w:val="0012041E"/>
    <w:rsid w:val="00154F2E"/>
    <w:rsid w:val="00155D07"/>
    <w:rsid w:val="0015617A"/>
    <w:rsid w:val="00166F13"/>
    <w:rsid w:val="00167A94"/>
    <w:rsid w:val="00174890"/>
    <w:rsid w:val="00174942"/>
    <w:rsid w:val="00196FEE"/>
    <w:rsid w:val="001A07B6"/>
    <w:rsid w:val="001A49A5"/>
    <w:rsid w:val="001B3810"/>
    <w:rsid w:val="001B4FB3"/>
    <w:rsid w:val="001B72B8"/>
    <w:rsid w:val="001E2BDE"/>
    <w:rsid w:val="001E390E"/>
    <w:rsid w:val="001E47FA"/>
    <w:rsid w:val="001F50F0"/>
    <w:rsid w:val="002226FB"/>
    <w:rsid w:val="00231879"/>
    <w:rsid w:val="00243873"/>
    <w:rsid w:val="00252057"/>
    <w:rsid w:val="00255A0A"/>
    <w:rsid w:val="002565AD"/>
    <w:rsid w:val="00274751"/>
    <w:rsid w:val="0029332D"/>
    <w:rsid w:val="002A6108"/>
    <w:rsid w:val="002B6953"/>
    <w:rsid w:val="002C0495"/>
    <w:rsid w:val="002C0BEB"/>
    <w:rsid w:val="002C171E"/>
    <w:rsid w:val="002C1A77"/>
    <w:rsid w:val="002D70E5"/>
    <w:rsid w:val="002E1B20"/>
    <w:rsid w:val="002E1EED"/>
    <w:rsid w:val="002E6535"/>
    <w:rsid w:val="002E68F3"/>
    <w:rsid w:val="003002E0"/>
    <w:rsid w:val="0030034E"/>
    <w:rsid w:val="00306BC8"/>
    <w:rsid w:val="0032325B"/>
    <w:rsid w:val="00327A96"/>
    <w:rsid w:val="0033181D"/>
    <w:rsid w:val="003318BF"/>
    <w:rsid w:val="00333D58"/>
    <w:rsid w:val="0033509C"/>
    <w:rsid w:val="0034639B"/>
    <w:rsid w:val="00362EE6"/>
    <w:rsid w:val="00376DF0"/>
    <w:rsid w:val="003916F3"/>
    <w:rsid w:val="00395BF8"/>
    <w:rsid w:val="003979EB"/>
    <w:rsid w:val="003A2D0A"/>
    <w:rsid w:val="003A44BE"/>
    <w:rsid w:val="003C3ADB"/>
    <w:rsid w:val="003F59D8"/>
    <w:rsid w:val="003F755D"/>
    <w:rsid w:val="00411935"/>
    <w:rsid w:val="00421B63"/>
    <w:rsid w:val="00437188"/>
    <w:rsid w:val="00453C04"/>
    <w:rsid w:val="00456A7F"/>
    <w:rsid w:val="004605BA"/>
    <w:rsid w:val="004844BE"/>
    <w:rsid w:val="004A0F99"/>
    <w:rsid w:val="004C0CB8"/>
    <w:rsid w:val="004C21A0"/>
    <w:rsid w:val="004C3C3D"/>
    <w:rsid w:val="004D541C"/>
    <w:rsid w:val="0050180B"/>
    <w:rsid w:val="00517258"/>
    <w:rsid w:val="00527F96"/>
    <w:rsid w:val="00544F72"/>
    <w:rsid w:val="005545FE"/>
    <w:rsid w:val="0056047B"/>
    <w:rsid w:val="005660CC"/>
    <w:rsid w:val="005938EF"/>
    <w:rsid w:val="005B27A6"/>
    <w:rsid w:val="005D6111"/>
    <w:rsid w:val="005E0A07"/>
    <w:rsid w:val="005F1972"/>
    <w:rsid w:val="005F3EC6"/>
    <w:rsid w:val="006051ED"/>
    <w:rsid w:val="00616E12"/>
    <w:rsid w:val="00620BF7"/>
    <w:rsid w:val="006309C0"/>
    <w:rsid w:val="00635C68"/>
    <w:rsid w:val="0063779E"/>
    <w:rsid w:val="00651313"/>
    <w:rsid w:val="00663652"/>
    <w:rsid w:val="00671C0F"/>
    <w:rsid w:val="006765DB"/>
    <w:rsid w:val="0069139D"/>
    <w:rsid w:val="00695350"/>
    <w:rsid w:val="00695C63"/>
    <w:rsid w:val="00697719"/>
    <w:rsid w:val="006A6B70"/>
    <w:rsid w:val="006D3101"/>
    <w:rsid w:val="006E348F"/>
    <w:rsid w:val="006E5195"/>
    <w:rsid w:val="006E531B"/>
    <w:rsid w:val="006F20DC"/>
    <w:rsid w:val="00715D46"/>
    <w:rsid w:val="0072021E"/>
    <w:rsid w:val="00723389"/>
    <w:rsid w:val="00724A0C"/>
    <w:rsid w:val="00733AC7"/>
    <w:rsid w:val="00737AEC"/>
    <w:rsid w:val="00751803"/>
    <w:rsid w:val="00765F86"/>
    <w:rsid w:val="00772216"/>
    <w:rsid w:val="007740B0"/>
    <w:rsid w:val="00781089"/>
    <w:rsid w:val="00783916"/>
    <w:rsid w:val="00794F7E"/>
    <w:rsid w:val="007A31C9"/>
    <w:rsid w:val="007B7ED2"/>
    <w:rsid w:val="007D4EB6"/>
    <w:rsid w:val="007F5BD8"/>
    <w:rsid w:val="008012E9"/>
    <w:rsid w:val="008050A9"/>
    <w:rsid w:val="00820E10"/>
    <w:rsid w:val="00821B9A"/>
    <w:rsid w:val="00821CC4"/>
    <w:rsid w:val="0082646F"/>
    <w:rsid w:val="00834EC4"/>
    <w:rsid w:val="00846B68"/>
    <w:rsid w:val="00851203"/>
    <w:rsid w:val="00852618"/>
    <w:rsid w:val="008609C7"/>
    <w:rsid w:val="008717E6"/>
    <w:rsid w:val="00894B4E"/>
    <w:rsid w:val="00894ED0"/>
    <w:rsid w:val="00897198"/>
    <w:rsid w:val="008A2E88"/>
    <w:rsid w:val="008B456B"/>
    <w:rsid w:val="008B63B9"/>
    <w:rsid w:val="008E0DC9"/>
    <w:rsid w:val="008E4353"/>
    <w:rsid w:val="008F2826"/>
    <w:rsid w:val="008F5146"/>
    <w:rsid w:val="009064FF"/>
    <w:rsid w:val="00921D1D"/>
    <w:rsid w:val="00924963"/>
    <w:rsid w:val="00924F0E"/>
    <w:rsid w:val="0094428F"/>
    <w:rsid w:val="00951428"/>
    <w:rsid w:val="009637D6"/>
    <w:rsid w:val="00970762"/>
    <w:rsid w:val="00974032"/>
    <w:rsid w:val="00977F56"/>
    <w:rsid w:val="00983FC6"/>
    <w:rsid w:val="009B37A7"/>
    <w:rsid w:val="009C1760"/>
    <w:rsid w:val="009E1C6E"/>
    <w:rsid w:val="009E340B"/>
    <w:rsid w:val="00A12FE6"/>
    <w:rsid w:val="00A13C86"/>
    <w:rsid w:val="00A4136C"/>
    <w:rsid w:val="00A43B6D"/>
    <w:rsid w:val="00A45BA7"/>
    <w:rsid w:val="00A60B6C"/>
    <w:rsid w:val="00A731D1"/>
    <w:rsid w:val="00A73398"/>
    <w:rsid w:val="00A779D2"/>
    <w:rsid w:val="00A83D7B"/>
    <w:rsid w:val="00A87F5B"/>
    <w:rsid w:val="00A9470D"/>
    <w:rsid w:val="00A95F59"/>
    <w:rsid w:val="00AB4ED8"/>
    <w:rsid w:val="00AC2A65"/>
    <w:rsid w:val="00AD179C"/>
    <w:rsid w:val="00AD5F66"/>
    <w:rsid w:val="00AE6265"/>
    <w:rsid w:val="00AF1176"/>
    <w:rsid w:val="00B14C42"/>
    <w:rsid w:val="00B25E48"/>
    <w:rsid w:val="00B37896"/>
    <w:rsid w:val="00B40640"/>
    <w:rsid w:val="00B43804"/>
    <w:rsid w:val="00B44581"/>
    <w:rsid w:val="00B60D7B"/>
    <w:rsid w:val="00B7436A"/>
    <w:rsid w:val="00B87C84"/>
    <w:rsid w:val="00BB6A4A"/>
    <w:rsid w:val="00BB7011"/>
    <w:rsid w:val="00BB7DA5"/>
    <w:rsid w:val="00BD1259"/>
    <w:rsid w:val="00BD609D"/>
    <w:rsid w:val="00BF547D"/>
    <w:rsid w:val="00C25E86"/>
    <w:rsid w:val="00C31EB2"/>
    <w:rsid w:val="00C3320E"/>
    <w:rsid w:val="00C33CF9"/>
    <w:rsid w:val="00C3647B"/>
    <w:rsid w:val="00C438DF"/>
    <w:rsid w:val="00C47D3F"/>
    <w:rsid w:val="00C5708C"/>
    <w:rsid w:val="00C732A2"/>
    <w:rsid w:val="00C74BA6"/>
    <w:rsid w:val="00C84670"/>
    <w:rsid w:val="00C8520C"/>
    <w:rsid w:val="00C8578A"/>
    <w:rsid w:val="00C900CE"/>
    <w:rsid w:val="00C9514C"/>
    <w:rsid w:val="00CA22F0"/>
    <w:rsid w:val="00CA297F"/>
    <w:rsid w:val="00CA51EF"/>
    <w:rsid w:val="00CB09EC"/>
    <w:rsid w:val="00CB2F88"/>
    <w:rsid w:val="00CB4262"/>
    <w:rsid w:val="00CC61C3"/>
    <w:rsid w:val="00D12FBD"/>
    <w:rsid w:val="00D30635"/>
    <w:rsid w:val="00D345B8"/>
    <w:rsid w:val="00D666A4"/>
    <w:rsid w:val="00D72B37"/>
    <w:rsid w:val="00D961E9"/>
    <w:rsid w:val="00DA6D10"/>
    <w:rsid w:val="00DB11EB"/>
    <w:rsid w:val="00DB191A"/>
    <w:rsid w:val="00DB3356"/>
    <w:rsid w:val="00DC4D6E"/>
    <w:rsid w:val="00DC5839"/>
    <w:rsid w:val="00DD3E37"/>
    <w:rsid w:val="00DE7FE5"/>
    <w:rsid w:val="00DF15B0"/>
    <w:rsid w:val="00DF6E30"/>
    <w:rsid w:val="00DF7E73"/>
    <w:rsid w:val="00E21F27"/>
    <w:rsid w:val="00E2747E"/>
    <w:rsid w:val="00E276A6"/>
    <w:rsid w:val="00E54B74"/>
    <w:rsid w:val="00E66FC2"/>
    <w:rsid w:val="00E67A03"/>
    <w:rsid w:val="00E70577"/>
    <w:rsid w:val="00E83531"/>
    <w:rsid w:val="00EA34F9"/>
    <w:rsid w:val="00EA3552"/>
    <w:rsid w:val="00EA36F0"/>
    <w:rsid w:val="00EA38D0"/>
    <w:rsid w:val="00EC1CFF"/>
    <w:rsid w:val="00EC2ECF"/>
    <w:rsid w:val="00EC391D"/>
    <w:rsid w:val="00ED51F4"/>
    <w:rsid w:val="00EE4EC1"/>
    <w:rsid w:val="00F0004A"/>
    <w:rsid w:val="00F039D3"/>
    <w:rsid w:val="00F046DF"/>
    <w:rsid w:val="00F2383E"/>
    <w:rsid w:val="00F258AB"/>
    <w:rsid w:val="00F34D7E"/>
    <w:rsid w:val="00F377ED"/>
    <w:rsid w:val="00F57D17"/>
    <w:rsid w:val="00F673A1"/>
    <w:rsid w:val="00F802C8"/>
    <w:rsid w:val="00F94591"/>
    <w:rsid w:val="00FA1810"/>
    <w:rsid w:val="00FA5232"/>
    <w:rsid w:val="00FD56C0"/>
    <w:rsid w:val="00FE54D0"/>
    <w:rsid w:val="00FF54B8"/>
    <w:rsid w:val="00FF785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36BCF68"/>
  <w15:docId w15:val="{B407FFD9-7A9C-49A7-8FB6-C303DEF60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等线"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513"/>
        <w:tab w:val="right" w:pos="9026"/>
      </w:tabs>
    </w:pPr>
  </w:style>
  <w:style w:type="character" w:customStyle="1" w:styleId="a4">
    <w:name w:val="页眉 字符"/>
    <w:basedOn w:val="a0"/>
    <w:link w:val="a3"/>
    <w:uiPriority w:val="99"/>
  </w:style>
  <w:style w:type="paragraph" w:styleId="a5">
    <w:name w:val="footer"/>
    <w:basedOn w:val="a"/>
    <w:link w:val="a6"/>
    <w:uiPriority w:val="99"/>
    <w:pPr>
      <w:tabs>
        <w:tab w:val="center" w:pos="4513"/>
        <w:tab w:val="right" w:pos="9026"/>
      </w:tabs>
    </w:pPr>
  </w:style>
  <w:style w:type="character" w:customStyle="1" w:styleId="a6">
    <w:name w:val="页脚 字符"/>
    <w:basedOn w:val="a0"/>
    <w:link w:val="a5"/>
    <w:uiPriority w:val="99"/>
  </w:style>
  <w:style w:type="paragraph" w:customStyle="1" w:styleId="PressRelease-Heading">
    <w:name w:val="Press Release-Heading"/>
    <w:basedOn w:val="a"/>
    <w:qFormat/>
    <w:pPr>
      <w:ind w:left="-567" w:right="-619"/>
    </w:pPr>
    <w:rPr>
      <w:rFonts w:ascii="Source Sans Pro Semibold" w:hAnsi="Source Sans Pro Semibold"/>
      <w:b/>
      <w:bCs/>
      <w:sz w:val="32"/>
    </w:rPr>
  </w:style>
  <w:style w:type="paragraph" w:customStyle="1" w:styleId="PressRelease-Subhead">
    <w:name w:val="Press Release-Subhead"/>
    <w:basedOn w:val="a"/>
    <w:qFormat/>
    <w:pPr>
      <w:spacing w:before="120"/>
      <w:ind w:left="-567" w:right="-618"/>
    </w:pPr>
    <w:rPr>
      <w:rFonts w:ascii="Times New Roman" w:hAnsi="Times New Roman"/>
      <w:i/>
      <w:iCs/>
      <w:sz w:val="28"/>
    </w:rPr>
  </w:style>
  <w:style w:type="paragraph" w:customStyle="1" w:styleId="City">
    <w:name w:val="City"/>
    <w:basedOn w:val="a"/>
    <w:qFormat/>
    <w:pPr>
      <w:spacing w:before="120"/>
      <w:ind w:left="-567" w:right="-618"/>
    </w:pPr>
    <w:rPr>
      <w:rFonts w:ascii="Source Sans Pro" w:hAnsi="Source Sans Pro"/>
      <w:sz w:val="28"/>
    </w:rPr>
  </w:style>
  <w:style w:type="paragraph" w:customStyle="1" w:styleId="BodyCopy">
    <w:name w:val="Body Copy"/>
    <w:basedOn w:val="a"/>
    <w:qFormat/>
    <w:pPr>
      <w:spacing w:before="120"/>
      <w:ind w:left="-567" w:right="-618"/>
    </w:pPr>
    <w:rPr>
      <w:rFonts w:ascii="Source Sans Pro Light" w:hAnsi="Source Sans Pro Light"/>
      <w:sz w:val="28"/>
    </w:rPr>
  </w:style>
  <w:style w:type="paragraph" w:customStyle="1" w:styleId="PressRelease-Body">
    <w:name w:val="Press Release-Body"/>
    <w:basedOn w:val="a"/>
    <w:qFormat/>
    <w:pPr>
      <w:spacing w:before="120"/>
      <w:ind w:left="-567" w:right="-618"/>
    </w:pPr>
    <w:rPr>
      <w:rFonts w:ascii="Source Sans Pro Light" w:hAnsi="Source Sans Pro Light"/>
      <w:sz w:val="22"/>
    </w:rPr>
  </w:style>
  <w:style w:type="paragraph" w:customStyle="1" w:styleId="PressRelease-City">
    <w:name w:val="Press Release-City"/>
    <w:basedOn w:val="a"/>
    <w:qFormat/>
    <w:pPr>
      <w:spacing w:before="120"/>
      <w:ind w:left="-567" w:right="-618"/>
    </w:pPr>
    <w:rPr>
      <w:rFonts w:ascii="Source Sans Pro" w:hAnsi="Source Sans Pro"/>
      <w:sz w:val="28"/>
    </w:rPr>
  </w:style>
  <w:style w:type="character" w:styleId="a7">
    <w:name w:val="Hyperlink"/>
    <w:uiPriority w:val="99"/>
    <w:rPr>
      <w:color w:val="0000FF"/>
      <w:u w:val="single"/>
    </w:rPr>
  </w:style>
  <w:style w:type="paragraph" w:customStyle="1" w:styleId="PressRelease-Boilerplate">
    <w:name w:val="Press Release-Boilerplate"/>
    <w:basedOn w:val="a"/>
    <w:qFormat/>
    <w:pPr>
      <w:ind w:left="-567" w:right="-619"/>
    </w:pPr>
    <w:rPr>
      <w:rFonts w:ascii="Source Sans Pro Light" w:eastAsia="Times New Roman" w:hAnsi="Source Sans Pro Light" w:cs="Arial"/>
      <w:color w:val="000000"/>
      <w:sz w:val="18"/>
      <w:szCs w:val="18"/>
    </w:rPr>
  </w:style>
  <w:style w:type="paragraph" w:styleId="a8">
    <w:name w:val="List Paragraph"/>
    <w:basedOn w:val="a"/>
    <w:uiPriority w:val="34"/>
    <w:qFormat/>
    <w:pPr>
      <w:ind w:left="720"/>
      <w:contextualSpacing/>
    </w:pPr>
  </w:style>
  <w:style w:type="table" w:styleId="a9">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LLPRcontinued">
    <w:name w:val="JLL_PR  continued"/>
    <w:basedOn w:val="a"/>
    <w:pPr>
      <w:spacing w:line="320" w:lineRule="exact"/>
      <w:jc w:val="center"/>
    </w:pPr>
    <w:rPr>
      <w:rFonts w:ascii="Arial Narrow" w:eastAsia="Times New Roman" w:hAnsi="Arial Narrow"/>
      <w:sz w:val="23"/>
      <w:lang w:val="en-GB" w:eastAsia="en-GB"/>
    </w:rPr>
  </w:style>
  <w:style w:type="paragraph" w:customStyle="1" w:styleId="JLLPRrowheader">
    <w:name w:val="JLL_PR row header"/>
    <w:pPr>
      <w:spacing w:line="280" w:lineRule="exact"/>
    </w:pPr>
    <w:rPr>
      <w:rFonts w:ascii="Times New Roman" w:eastAsia="宋体" w:hAnsi="Times New Roman"/>
      <w:sz w:val="23"/>
      <w:szCs w:val="24"/>
      <w:lang w:val="en-GB" w:eastAsia="en-GB"/>
    </w:rPr>
  </w:style>
  <w:style w:type="paragraph" w:customStyle="1" w:styleId="JLLPRrowcontent">
    <w:name w:val="JLL_PR row content"/>
    <w:basedOn w:val="JLLPRrowheader"/>
  </w:style>
  <w:style w:type="paragraph" w:customStyle="1" w:styleId="JLLPRbodytext">
    <w:name w:val="JLL_PR body text"/>
    <w:link w:val="JLLPRbodytextChar"/>
    <w:pPr>
      <w:spacing w:after="140" w:line="320" w:lineRule="exact"/>
    </w:pPr>
    <w:rPr>
      <w:rFonts w:ascii="Arial Narrow" w:eastAsia="宋体" w:hAnsi="Arial Narrow"/>
      <w:sz w:val="23"/>
      <w:szCs w:val="24"/>
      <w:lang w:val="en-GB" w:eastAsia="en-GB"/>
    </w:rPr>
  </w:style>
  <w:style w:type="paragraph" w:customStyle="1" w:styleId="JLLPRSpace">
    <w:name w:val="JLL_PR Space"/>
    <w:basedOn w:val="a"/>
    <w:pPr>
      <w:spacing w:line="20" w:lineRule="exact"/>
    </w:pPr>
    <w:rPr>
      <w:rFonts w:ascii="Times New Roman" w:eastAsia="宋体" w:hAnsi="Times New Roman"/>
      <w:sz w:val="2"/>
      <w:lang w:val="en-GB" w:eastAsia="en-GB"/>
    </w:rPr>
  </w:style>
  <w:style w:type="character" w:customStyle="1" w:styleId="JLLPRbodytextChar">
    <w:name w:val="JLL_PR body text Char"/>
    <w:link w:val="JLLPRbodytext"/>
    <w:rPr>
      <w:rFonts w:ascii="Arial Narrow" w:eastAsia="宋体" w:hAnsi="Arial Narrow"/>
      <w:sz w:val="23"/>
      <w:szCs w:val="24"/>
      <w:lang w:val="en-GB" w:eastAsia="en-GB"/>
    </w:rPr>
  </w:style>
  <w:style w:type="character" w:styleId="aa">
    <w:name w:val="annotation reference"/>
    <w:basedOn w:val="a0"/>
    <w:uiPriority w:val="99"/>
    <w:rPr>
      <w:sz w:val="16"/>
      <w:szCs w:val="16"/>
    </w:rPr>
  </w:style>
  <w:style w:type="paragraph" w:styleId="ab">
    <w:name w:val="annotation text"/>
    <w:basedOn w:val="a"/>
    <w:link w:val="ac"/>
    <w:uiPriority w:val="99"/>
    <w:rPr>
      <w:sz w:val="20"/>
      <w:szCs w:val="20"/>
    </w:rPr>
  </w:style>
  <w:style w:type="character" w:customStyle="1" w:styleId="ac">
    <w:name w:val="批注文字 字符"/>
    <w:basedOn w:val="a0"/>
    <w:link w:val="ab"/>
    <w:uiPriority w:val="99"/>
  </w:style>
  <w:style w:type="paragraph" w:styleId="ad">
    <w:name w:val="annotation subject"/>
    <w:basedOn w:val="ab"/>
    <w:next w:val="ab"/>
    <w:link w:val="ae"/>
    <w:uiPriority w:val="99"/>
    <w:rPr>
      <w:b/>
      <w:bCs/>
    </w:rPr>
  </w:style>
  <w:style w:type="character" w:customStyle="1" w:styleId="ae">
    <w:name w:val="批注主题 字符"/>
    <w:basedOn w:val="ac"/>
    <w:link w:val="ad"/>
    <w:uiPriority w:val="99"/>
    <w:rPr>
      <w:b/>
      <w:bCs/>
    </w:rPr>
  </w:style>
  <w:style w:type="paragraph" w:styleId="af">
    <w:name w:val="Balloon Text"/>
    <w:basedOn w:val="a"/>
    <w:link w:val="af0"/>
    <w:uiPriority w:val="99"/>
    <w:rPr>
      <w:rFonts w:ascii="Segoe UI" w:hAnsi="Segoe UI" w:cs="Segoe UI"/>
      <w:sz w:val="18"/>
      <w:szCs w:val="18"/>
    </w:rPr>
  </w:style>
  <w:style w:type="character" w:customStyle="1" w:styleId="af0">
    <w:name w:val="批注框文本 字符"/>
    <w:basedOn w:val="a0"/>
    <w:link w:val="af"/>
    <w:uiPriority w:val="99"/>
    <w:rPr>
      <w:rFonts w:ascii="Segoe UI" w:hAnsi="Segoe UI" w:cs="Segoe UI"/>
      <w:sz w:val="18"/>
      <w:szCs w:val="18"/>
    </w:rPr>
  </w:style>
  <w:style w:type="paragraph" w:styleId="af1">
    <w:name w:val="Revision"/>
    <w:uiPriority w:val="99"/>
    <w:rPr>
      <w:sz w:val="24"/>
      <w:szCs w:val="24"/>
    </w:rPr>
  </w:style>
  <w:style w:type="character" w:styleId="af2">
    <w:name w:val="Emphasis"/>
    <w:basedOn w:val="a0"/>
    <w:uiPriority w:val="20"/>
    <w:qFormat/>
    <w:rsid w:val="00C9514C"/>
    <w:rPr>
      <w:i/>
      <w:iCs/>
    </w:rPr>
  </w:style>
  <w:style w:type="character" w:styleId="af3">
    <w:name w:val="Unresolved Mention"/>
    <w:basedOn w:val="a0"/>
    <w:uiPriority w:val="99"/>
    <w:semiHidden/>
    <w:unhideWhenUsed/>
    <w:rsid w:val="00DF6E30"/>
    <w:rPr>
      <w:color w:val="605E5C"/>
      <w:shd w:val="clear" w:color="auto" w:fill="E1DFDD"/>
    </w:rPr>
  </w:style>
  <w:style w:type="character" w:styleId="af4">
    <w:name w:val="FollowedHyperlink"/>
    <w:basedOn w:val="a0"/>
    <w:uiPriority w:val="99"/>
    <w:semiHidden/>
    <w:unhideWhenUsed/>
    <w:rsid w:val="00FA18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535682">
      <w:bodyDiv w:val="1"/>
      <w:marLeft w:val="0"/>
      <w:marRight w:val="0"/>
      <w:marTop w:val="0"/>
      <w:marBottom w:val="0"/>
      <w:divBdr>
        <w:top w:val="none" w:sz="0" w:space="0" w:color="auto"/>
        <w:left w:val="none" w:sz="0" w:space="0" w:color="auto"/>
        <w:bottom w:val="none" w:sz="0" w:space="0" w:color="auto"/>
        <w:right w:val="none" w:sz="0" w:space="0" w:color="auto"/>
      </w:divBdr>
      <w:divsChild>
        <w:div w:id="1520002212">
          <w:marLeft w:val="0"/>
          <w:marRight w:val="0"/>
          <w:marTop w:val="0"/>
          <w:marBottom w:val="0"/>
          <w:divBdr>
            <w:top w:val="none" w:sz="0" w:space="0" w:color="auto"/>
            <w:left w:val="none" w:sz="0" w:space="0" w:color="auto"/>
            <w:bottom w:val="none" w:sz="0" w:space="0" w:color="auto"/>
            <w:right w:val="none" w:sz="0" w:space="0" w:color="auto"/>
          </w:divBdr>
        </w:div>
      </w:divsChild>
    </w:div>
    <w:div w:id="752817191">
      <w:bodyDiv w:val="1"/>
      <w:marLeft w:val="0"/>
      <w:marRight w:val="0"/>
      <w:marTop w:val="0"/>
      <w:marBottom w:val="0"/>
      <w:divBdr>
        <w:top w:val="none" w:sz="0" w:space="0" w:color="auto"/>
        <w:left w:val="none" w:sz="0" w:space="0" w:color="auto"/>
        <w:bottom w:val="none" w:sz="0" w:space="0" w:color="auto"/>
        <w:right w:val="none" w:sz="0" w:space="0" w:color="auto"/>
      </w:divBdr>
      <w:divsChild>
        <w:div w:id="1755278244">
          <w:marLeft w:val="0"/>
          <w:marRight w:val="0"/>
          <w:marTop w:val="0"/>
          <w:marBottom w:val="0"/>
          <w:divBdr>
            <w:top w:val="none" w:sz="0" w:space="0" w:color="auto"/>
            <w:left w:val="none" w:sz="0" w:space="0" w:color="auto"/>
            <w:bottom w:val="none" w:sz="0" w:space="0" w:color="auto"/>
            <w:right w:val="none" w:sz="0" w:space="0" w:color="auto"/>
          </w:divBdr>
        </w:div>
      </w:divsChild>
    </w:div>
    <w:div w:id="1266646596">
      <w:bodyDiv w:val="1"/>
      <w:marLeft w:val="0"/>
      <w:marRight w:val="0"/>
      <w:marTop w:val="0"/>
      <w:marBottom w:val="0"/>
      <w:divBdr>
        <w:top w:val="none" w:sz="0" w:space="0" w:color="auto"/>
        <w:left w:val="none" w:sz="0" w:space="0" w:color="auto"/>
        <w:bottom w:val="none" w:sz="0" w:space="0" w:color="auto"/>
        <w:right w:val="none" w:sz="0" w:space="0" w:color="auto"/>
      </w:divBdr>
    </w:div>
    <w:div w:id="181305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ve.vhall.com/804338462" TargetMode="External"/><Relationship Id="rId18" Type="http://schemas.openxmlformats.org/officeDocument/2006/relationships/image" Target="cid:image002.png@01D2B450.54B30F10" TargetMode="External"/><Relationship Id="rId26" Type="http://schemas.openxmlformats.org/officeDocument/2006/relationships/image" Target="media/image6.png"/><Relationship Id="rId39" Type="http://schemas.openxmlformats.org/officeDocument/2006/relationships/image" Target="cid:image009.png@01D2B450.54B30F10" TargetMode="External"/><Relationship Id="rId21" Type="http://schemas.openxmlformats.org/officeDocument/2006/relationships/image" Target="cid:image003.png@01D2B450.54B30F10" TargetMode="External"/><Relationship Id="rId34" Type="http://schemas.openxmlformats.org/officeDocument/2006/relationships/hyperlink" Target="http://www.youtube.com/joneslanglasalle"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witter.com/JLLNews" TargetMode="External"/><Relationship Id="rId20" Type="http://schemas.openxmlformats.org/officeDocument/2006/relationships/image" Target="media/image4.png"/><Relationship Id="rId29" Type="http://schemas.openxmlformats.org/officeDocument/2006/relationships/image" Target="media/image7.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cid:image004.png@01D2B450.54B30F10" TargetMode="External"/><Relationship Id="rId32" Type="http://schemas.openxmlformats.org/officeDocument/2006/relationships/image" Target="media/image8.png"/><Relationship Id="rId37" Type="http://schemas.openxmlformats.org/officeDocument/2006/relationships/hyperlink" Target="http://www.asiapacific.joneslanglasalle.com/Shanghai/2014/JLL_WeChat_QRCode.jpg"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ile:///C:\Users\nikita.huang\AppData\Local\Microsoft\Windows\INetCache\Content.Outlook\LSR3S4PR\www.jll.com" TargetMode="External"/><Relationship Id="rId23" Type="http://schemas.openxmlformats.org/officeDocument/2006/relationships/image" Target="media/image5.png"/><Relationship Id="rId28" Type="http://schemas.openxmlformats.org/officeDocument/2006/relationships/hyperlink" Target="https://www.facebook.com/joneslanglasalle?fref=ts" TargetMode="External"/><Relationship Id="rId36" Type="http://schemas.openxmlformats.org/officeDocument/2006/relationships/image" Target="cid:image008.png@01D2B450.54B30F10" TargetMode="External"/><Relationship Id="rId10" Type="http://schemas.openxmlformats.org/officeDocument/2006/relationships/image" Target="media/image1.png"/><Relationship Id="rId19" Type="http://schemas.openxmlformats.org/officeDocument/2006/relationships/hyperlink" Target="http://www.linkedin.com/company/jll" TargetMode="External"/><Relationship Id="rId31" Type="http://schemas.openxmlformats.org/officeDocument/2006/relationships/hyperlink" Target="http://www.joneslanglasalleblog.com/APResearch/" TargetMode="External"/><Relationship Id="rId4" Type="http://schemas.openxmlformats.org/officeDocument/2006/relationships/settings" Target="settings.xml"/><Relationship Id="rId9" Type="http://schemas.openxmlformats.org/officeDocument/2006/relationships/hyperlink" Target="https://www.joneslanglasalle.com.cn/zh/trends-and-insights/research/gba-whitepaper-2020" TargetMode="External"/><Relationship Id="rId14" Type="http://schemas.openxmlformats.org/officeDocument/2006/relationships/hyperlink" Target="https://www.joneslanglasalle.com.cn/zh/campaign/greater-bay-area" TargetMode="External"/><Relationship Id="rId22" Type="http://schemas.openxmlformats.org/officeDocument/2006/relationships/hyperlink" Target="https://plus.google.com/+joneslanglasalle" TargetMode="External"/><Relationship Id="rId27" Type="http://schemas.openxmlformats.org/officeDocument/2006/relationships/image" Target="cid:image005.png@01D2B450.54B30F10" TargetMode="External"/><Relationship Id="rId30" Type="http://schemas.openxmlformats.org/officeDocument/2006/relationships/image" Target="cid:image006.png@01D2B450.54B30F10" TargetMode="External"/><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hyperlink" Target="https://www.joneslanglasalle.com.cn/zh/trends-and-insights/research/redefining-gba-industrial-network-and-spatial-distribution?utm_source=news&amp;utm_medium=orgsearch&amp;utm_campaign=ap-cn-shenzhen-corp" TargetMode="External"/><Relationship Id="rId3" Type="http://schemas.openxmlformats.org/officeDocument/2006/relationships/styles" Target="styles.xml"/><Relationship Id="rId12" Type="http://schemas.openxmlformats.org/officeDocument/2006/relationships/hyperlink" Target="https://www.joneslanglasalle.com.cn/zh/trends-and-insights/research/redefining-gba-industrial-network-and-spatial-distribution?utm_source=news&amp;utm_medium=orgsearch&amp;utm_campaign=ap-cn-shenzhen-corp" TargetMode="External"/><Relationship Id="rId17" Type="http://schemas.openxmlformats.org/officeDocument/2006/relationships/image" Target="media/image3.png"/><Relationship Id="rId25" Type="http://schemas.openxmlformats.org/officeDocument/2006/relationships/hyperlink" Target="http://www.weibo.com/JLLChina" TargetMode="External"/><Relationship Id="rId33" Type="http://schemas.openxmlformats.org/officeDocument/2006/relationships/image" Target="cid:image007.png@01D2B450.54B30F10" TargetMode="External"/><Relationship Id="rId38"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0.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bustos\AppData\Local\Temp\wz6bec\JLL-Global-NewsRele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7E12E-D74E-4567-8596-277FF7B02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JLL-Global-NewsRelease.dotx</Template>
  <TotalTime>360</TotalTime>
  <Pages>4</Pages>
  <Words>528</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JLL</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Bustos</dc:creator>
  <cp:lastModifiedBy>Zheng, Angel</cp:lastModifiedBy>
  <cp:revision>28</cp:revision>
  <cp:lastPrinted>2019-10-17T03:59:00Z</cp:lastPrinted>
  <dcterms:created xsi:type="dcterms:W3CDTF">2021-06-17T09:50:00Z</dcterms:created>
  <dcterms:modified xsi:type="dcterms:W3CDTF">2021-06-22T06:57:00Z</dcterms:modified>
</cp:coreProperties>
</file>